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BC3F8A" w14:textId="77C4D62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proofErr w:type="spellStart"/>
      <w:r w:rsidRPr="00CE0424">
        <w:rPr>
          <w:sz w:val="32"/>
          <w:szCs w:val="32"/>
        </w:rPr>
        <w:t>Tdoc</w:t>
      </w:r>
      <w:proofErr w:type="spellEnd"/>
      <w:r w:rsidRPr="00CE0424">
        <w:rPr>
          <w:sz w:val="32"/>
          <w:szCs w:val="32"/>
        </w:rPr>
        <w:t xml:space="preserve"> </w:t>
      </w:r>
      <w:r w:rsidR="00C15E53">
        <w:rPr>
          <w:sz w:val="32"/>
          <w:szCs w:val="32"/>
        </w:rPr>
        <w:t>R2-2101174</w:t>
      </w:r>
    </w:p>
    <w:p w14:paraId="1FDE5F96" w14:textId="77777777" w:rsidR="00E90E49" w:rsidRPr="00CE0424" w:rsidRDefault="00C268E6" w:rsidP="00311702">
      <w:pPr>
        <w:pStyle w:val="3GPPHeader"/>
      </w:pPr>
      <w:r>
        <w:t xml:space="preserve">Electronic meeting, </w:t>
      </w:r>
      <w:r w:rsidR="00D9310F" w:rsidRPr="00D9310F">
        <w:t>2021-01-25</w:t>
      </w:r>
      <w:r w:rsidR="00D9310F">
        <w:t xml:space="preserve"> - </w:t>
      </w:r>
      <w:r w:rsidR="00D9310F" w:rsidRPr="00D9310F">
        <w:t>2021-02-05</w:t>
      </w:r>
    </w:p>
    <w:p w14:paraId="3105B7CA" w14:textId="77777777" w:rsidR="00E90E49" w:rsidRPr="00CE0424" w:rsidRDefault="00E90E49" w:rsidP="00357380">
      <w:pPr>
        <w:pStyle w:val="3GPPHeader"/>
      </w:pPr>
    </w:p>
    <w:p w14:paraId="43687FFF" w14:textId="5559CB4C" w:rsidR="00E90E49" w:rsidRPr="00D04AB8" w:rsidRDefault="00E90E49" w:rsidP="00311702">
      <w:pPr>
        <w:pStyle w:val="3GPPHeader"/>
        <w:rPr>
          <w:sz w:val="22"/>
          <w:szCs w:val="22"/>
          <w:lang w:val="sv-SE"/>
        </w:rPr>
      </w:pPr>
      <w:r w:rsidRPr="00D04AB8">
        <w:rPr>
          <w:sz w:val="22"/>
          <w:szCs w:val="22"/>
          <w:lang w:val="sv-SE"/>
        </w:rPr>
        <w:t>Agenda Item:</w:t>
      </w:r>
      <w:r w:rsidRPr="00D04AB8">
        <w:rPr>
          <w:sz w:val="22"/>
          <w:szCs w:val="22"/>
          <w:lang w:val="sv-SE"/>
        </w:rPr>
        <w:tab/>
      </w:r>
      <w:r w:rsidR="004206A2">
        <w:t>8.6.4</w:t>
      </w:r>
    </w:p>
    <w:p w14:paraId="1B033BA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613F2E5" w14:textId="45C0B90F" w:rsidR="00E90E49" w:rsidRPr="00CE0424" w:rsidRDefault="003D3C45" w:rsidP="00311702">
      <w:pPr>
        <w:pStyle w:val="3GPPHeader"/>
        <w:rPr>
          <w:sz w:val="22"/>
          <w:szCs w:val="22"/>
        </w:rPr>
      </w:pPr>
      <w:r>
        <w:rPr>
          <w:sz w:val="22"/>
          <w:szCs w:val="22"/>
        </w:rPr>
        <w:t>Title:</w:t>
      </w:r>
      <w:r w:rsidR="00E90E49" w:rsidRPr="00CE0424">
        <w:rPr>
          <w:sz w:val="22"/>
          <w:szCs w:val="22"/>
        </w:rPr>
        <w:tab/>
      </w:r>
      <w:r w:rsidR="001B1250">
        <w:rPr>
          <w:sz w:val="22"/>
          <w:szCs w:val="22"/>
        </w:rPr>
        <w:t>RACH configuration for SDT</w:t>
      </w:r>
    </w:p>
    <w:p w14:paraId="265A1FB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24F4A">
        <w:rPr>
          <w:sz w:val="22"/>
          <w:szCs w:val="22"/>
        </w:rPr>
        <w:t>Discussion, Decision</w:t>
      </w:r>
    </w:p>
    <w:p w14:paraId="66631E85" w14:textId="77777777" w:rsidR="00E90E49" w:rsidRPr="00CE0424" w:rsidRDefault="00230D18" w:rsidP="00CE0424">
      <w:pPr>
        <w:pStyle w:val="Heading1"/>
      </w:pPr>
      <w:r>
        <w:t>1</w:t>
      </w:r>
      <w:r>
        <w:tab/>
      </w:r>
      <w:r w:rsidR="00E90E49" w:rsidRPr="00CE0424">
        <w:t>Introduction</w:t>
      </w:r>
    </w:p>
    <w:p w14:paraId="51A93A48" w14:textId="434CFDB8" w:rsidR="00B65AF2" w:rsidRDefault="00B65AF2" w:rsidP="00B65AF2">
      <w:pPr>
        <w:pStyle w:val="BodyText"/>
        <w:rPr>
          <w:b/>
          <w:bCs/>
          <w:u w:val="single"/>
        </w:rPr>
      </w:pPr>
      <w:r>
        <w:t>The current relevant agreements are reported below</w:t>
      </w:r>
      <w:r w:rsidR="00FB6A7D">
        <w:t xml:space="preserve"> </w:t>
      </w:r>
      <w:r w:rsidR="00FB6A7D">
        <w:fldChar w:fldCharType="begin"/>
      </w:r>
      <w:r w:rsidR="00FB6A7D">
        <w:instrText xml:space="preserve"> REF _Ref61511911 \r \h </w:instrText>
      </w:r>
      <w:r w:rsidR="00FB6A7D">
        <w:fldChar w:fldCharType="separate"/>
      </w:r>
      <w:r w:rsidR="00085F42">
        <w:t>[1]</w:t>
      </w:r>
      <w:r w:rsidR="00FB6A7D">
        <w:fldChar w:fldCharType="end"/>
      </w:r>
      <w:r>
        <w:t>:</w:t>
      </w:r>
    </w:p>
    <w:p w14:paraId="53AB3608" w14:textId="697F3F38" w:rsidR="00B65AF2" w:rsidRDefault="00B65AF2" w:rsidP="00B65AF2">
      <w:pPr>
        <w:pStyle w:val="Doc-text2"/>
        <w:ind w:left="363"/>
        <w:rPr>
          <w:b/>
          <w:bCs/>
          <w:u w:val="single"/>
          <w:lang w:eastAsia="en-US"/>
        </w:rPr>
      </w:pPr>
      <w:r>
        <w:rPr>
          <w:b/>
          <w:bCs/>
          <w:u w:val="single"/>
        </w:rPr>
        <w:t>Agreements</w:t>
      </w:r>
    </w:p>
    <w:p w14:paraId="66478AA6" w14:textId="77777777" w:rsidR="00B65AF2" w:rsidRDefault="00B65AF2" w:rsidP="00B65AF2">
      <w:pPr>
        <w:pStyle w:val="Doc-text2"/>
        <w:ind w:left="363"/>
      </w:pPr>
      <w:r>
        <w:t>10:  As a baseline, the RACH resource i.e. (</w:t>
      </w:r>
      <w:proofErr w:type="spellStart"/>
      <w:r>
        <w:t>RO+preamble</w:t>
      </w:r>
      <w:proofErr w:type="spellEnd"/>
      <w:r>
        <w:t xml:space="preserve"> combination) is different between SDT and non-SDT </w:t>
      </w:r>
    </w:p>
    <w:p w14:paraId="619EF35F" w14:textId="77777777" w:rsidR="00B65AF2" w:rsidRDefault="00B65AF2" w:rsidP="00B65AF2">
      <w:pPr>
        <w:pStyle w:val="Doc-text2"/>
        <w:ind w:left="363"/>
      </w:pPr>
      <w:r>
        <w:t>-</w:t>
      </w:r>
      <w:r>
        <w:tab/>
        <w:t>If ROs for SDT and non SDT are different, preamble partitioning between SDT and non SDT is not needed.</w:t>
      </w:r>
    </w:p>
    <w:p w14:paraId="29EB6106" w14:textId="77777777" w:rsidR="00B65AF2" w:rsidRDefault="00B65AF2" w:rsidP="00B65AF2">
      <w:pPr>
        <w:pStyle w:val="Doc-text2"/>
        <w:ind w:left="363"/>
      </w:pPr>
      <w:r>
        <w:t>-</w:t>
      </w:r>
      <w:r>
        <w:tab/>
        <w:t>If ROs for SDT and non SDT are same, preamble partitioning is needed</w:t>
      </w:r>
    </w:p>
    <w:p w14:paraId="45F5F108" w14:textId="77777777" w:rsidR="00B65AF2" w:rsidRDefault="00B65AF2" w:rsidP="00B65AF2">
      <w:pPr>
        <w:pStyle w:val="Doc-text2"/>
        <w:ind w:left="363"/>
      </w:pPr>
      <w:r>
        <w:t>FFS if common configuration should be allowed</w:t>
      </w:r>
    </w:p>
    <w:p w14:paraId="7A8D74D1" w14:textId="6EE0891B" w:rsidR="00B65AF2" w:rsidRPr="00B65AF2" w:rsidRDefault="00B65AF2" w:rsidP="00B65AF2">
      <w:pPr>
        <w:pStyle w:val="Doc-text2"/>
        <w:ind w:left="363"/>
        <w:rPr>
          <w:rFonts w:cs="Arial"/>
        </w:rPr>
      </w:pPr>
      <w:r>
        <w:t>11:</w:t>
      </w:r>
      <w:r>
        <w:tab/>
        <w:t>If the RACH resource i.e. (</w:t>
      </w:r>
      <w:proofErr w:type="spellStart"/>
      <w:r>
        <w:t>RO+preamble</w:t>
      </w:r>
      <w:proofErr w:type="spellEnd"/>
      <w:r>
        <w:t xml:space="preserve"> combination) is different between SDT and non-SDT then there is no further need for any differentiation between MSG2/MSGB for SDT vs non-SDT</w:t>
      </w:r>
    </w:p>
    <w:p w14:paraId="472DFFFF" w14:textId="1692BFC9" w:rsidR="004000E8" w:rsidRDefault="00230D18" w:rsidP="00CE0424">
      <w:pPr>
        <w:pStyle w:val="Heading1"/>
      </w:pPr>
      <w:bookmarkStart w:id="0" w:name="_Ref178064866"/>
      <w:r>
        <w:t>2</w:t>
      </w:r>
      <w:r>
        <w:tab/>
      </w:r>
      <w:r w:rsidR="004000E8" w:rsidRPr="00CE0424">
        <w:t>Discussion</w:t>
      </w:r>
      <w:bookmarkEnd w:id="0"/>
    </w:p>
    <w:p w14:paraId="16D44EF9" w14:textId="4F1FD24D" w:rsidR="001B1250" w:rsidRDefault="00B65AF2" w:rsidP="001B1250">
      <w:pPr>
        <w:pStyle w:val="BodyText"/>
      </w:pPr>
      <w:r>
        <w:t>Considering the baseline agreement</w:t>
      </w:r>
      <w:r w:rsidR="00CD5498">
        <w:t>s,</w:t>
      </w:r>
      <w:r>
        <w:t xml:space="preserve"> further analysis </w:t>
      </w:r>
      <w:r w:rsidR="0085304C">
        <w:t xml:space="preserve">on how to achieve a different RACH Occasion (RO) for SDT and preamble partitioning, if RO is shared, </w:t>
      </w:r>
      <w:proofErr w:type="gramStart"/>
      <w:r w:rsidR="0085304C">
        <w:t>has to</w:t>
      </w:r>
      <w:proofErr w:type="gramEnd"/>
      <w:r w:rsidR="0085304C">
        <w:t xml:space="preserve"> be done.</w:t>
      </w:r>
    </w:p>
    <w:p w14:paraId="3DB02C64" w14:textId="154BEB65" w:rsidR="0085304C" w:rsidRDefault="0085304C" w:rsidP="001B1250">
      <w:pPr>
        <w:pStyle w:val="BodyText"/>
      </w:pPr>
      <w:r>
        <w:t xml:space="preserve">Regardless of how a new set of preambles is defined for SDT, there is a set of constraints that </w:t>
      </w:r>
      <w:r w:rsidR="00CD5498">
        <w:t>must</w:t>
      </w:r>
      <w:r>
        <w:t xml:space="preserve"> be </w:t>
      </w:r>
      <w:proofErr w:type="gramStart"/>
      <w:r>
        <w:t>taken into account</w:t>
      </w:r>
      <w:proofErr w:type="gramEnd"/>
      <w:r>
        <w:t>.</w:t>
      </w:r>
    </w:p>
    <w:p w14:paraId="49ED6B14" w14:textId="2F80BEBE" w:rsidR="0085304C" w:rsidRDefault="0085304C" w:rsidP="001B1250">
      <w:pPr>
        <w:pStyle w:val="BodyText"/>
      </w:pPr>
      <w:r>
        <w:t xml:space="preserve">First, preambles should be divided among the configured cell beams, with the same flexibility that is possible for legacy preambles. This means that if the </w:t>
      </w:r>
      <w:proofErr w:type="spellStart"/>
      <w:r>
        <w:t>gNB</w:t>
      </w:r>
      <w:proofErr w:type="spellEnd"/>
      <w:r>
        <w:t xml:space="preserve"> is using </w:t>
      </w:r>
      <w:proofErr w:type="spellStart"/>
      <w:r>
        <w:t>analog</w:t>
      </w:r>
      <w:proofErr w:type="spellEnd"/>
      <w:r>
        <w:t xml:space="preserve"> beamforming, or simply if it is more desirable, preambles belonging to different beams should not be overlapped in time.</w:t>
      </w:r>
    </w:p>
    <w:p w14:paraId="79224ED2" w14:textId="64024D6B" w:rsidR="0085304C" w:rsidRPr="001B1250" w:rsidRDefault="0085304C" w:rsidP="001B1250">
      <w:pPr>
        <w:pStyle w:val="BodyText"/>
      </w:pPr>
      <w:r>
        <w:t xml:space="preserve">Second, there should be a distinction between </w:t>
      </w:r>
      <w:r w:rsidR="00CD5498">
        <w:t xml:space="preserve">SDT </w:t>
      </w:r>
      <w:r>
        <w:t>preambles dedicated to 4-step and 2-step RACH, and it should be possible to disable one of the two procedures.</w:t>
      </w:r>
    </w:p>
    <w:p w14:paraId="4AC2AD08" w14:textId="2E830156" w:rsidR="00F63950" w:rsidRDefault="00230D18" w:rsidP="00F63950">
      <w:pPr>
        <w:pStyle w:val="Heading2"/>
      </w:pPr>
      <w:r>
        <w:t>2.1</w:t>
      </w:r>
      <w:r>
        <w:tab/>
      </w:r>
      <w:r w:rsidR="001B1250">
        <w:t>Separate RACH Occasion</w:t>
      </w:r>
    </w:p>
    <w:p w14:paraId="0752AF25" w14:textId="2EF846AD" w:rsidR="0085304C" w:rsidRDefault="0085304C" w:rsidP="0085304C">
      <w:pPr>
        <w:pStyle w:val="BodyText"/>
      </w:pPr>
      <w:r>
        <w:t xml:space="preserve">The most straight-forward method </w:t>
      </w:r>
      <w:r w:rsidR="00CD5498">
        <w:t xml:space="preserve">to define a separate set of ROs for SDT </w:t>
      </w:r>
      <w:r>
        <w:t>is to define a whole new RACH configuration consisting in multiple ROs forming a PRACH slot, their periodicity etc.</w:t>
      </w:r>
    </w:p>
    <w:p w14:paraId="7E013006" w14:textId="6AFA2228" w:rsidR="004B18F7" w:rsidRDefault="004B18F7" w:rsidP="004B18F7">
      <w:pPr>
        <w:pStyle w:val="BodyText"/>
      </w:pPr>
      <w:r>
        <w:t xml:space="preserve">For legacy RACH, SI carries some parameters such as the PRACH slot frequency offset, how many ROs exists in frequency domain, and a </w:t>
      </w:r>
      <w:proofErr w:type="spellStart"/>
      <w:r w:rsidRPr="00236305">
        <w:rPr>
          <w:i/>
          <w:iCs/>
        </w:rPr>
        <w:t>prach-ConfigurationIndex</w:t>
      </w:r>
      <w:proofErr w:type="spellEnd"/>
      <w:r>
        <w:t xml:space="preserve"> which points to a row in Tables 6.3.3.2-2/3 and 4 of TS 38.211 which contains other parameters such as the preamble format, information on the PRACH slot occurrence in time and how many ROs exists in time domain</w:t>
      </w:r>
      <w:r w:rsidR="00FB6A7D">
        <w:t xml:space="preserve"> </w:t>
      </w:r>
      <w:r w:rsidR="00FB6A7D">
        <w:fldChar w:fldCharType="begin"/>
      </w:r>
      <w:r w:rsidR="00FB6A7D">
        <w:instrText xml:space="preserve"> REF _Ref61512275 \r \h </w:instrText>
      </w:r>
      <w:r w:rsidR="00FB6A7D">
        <w:fldChar w:fldCharType="separate"/>
      </w:r>
      <w:r w:rsidR="00085F42">
        <w:t>[2]</w:t>
      </w:r>
      <w:r w:rsidR="00FB6A7D">
        <w:fldChar w:fldCharType="end"/>
      </w:r>
      <w:r>
        <w:t>.</w:t>
      </w:r>
    </w:p>
    <w:p w14:paraId="0E9C56FC" w14:textId="77777777" w:rsidR="004B18F7" w:rsidRDefault="004B18F7" w:rsidP="004B18F7">
      <w:pPr>
        <w:pStyle w:val="BodyText"/>
      </w:pPr>
      <w:r>
        <w:t>By duplicating this information for SDT, it is possible to create a parallel PRACH that contains SDT preambles only. If needed, it is also possible to define one further PRACH in order to separate 4-step and 2-step preambles, although it is not strictly needed as one PRACH can contain both preambles types.</w:t>
      </w:r>
    </w:p>
    <w:p w14:paraId="1EC1BE51" w14:textId="77777777" w:rsidR="004B18F7" w:rsidRDefault="004B18F7" w:rsidP="004B18F7">
      <w:pPr>
        <w:pStyle w:val="Observation"/>
      </w:pPr>
      <w:bookmarkStart w:id="1" w:name="_Toc61534368"/>
      <w:r>
        <w:t>It is possible to define separate SDT ROs by defining a new PRACH slot for SDT only</w:t>
      </w:r>
      <w:bookmarkEnd w:id="1"/>
    </w:p>
    <w:p w14:paraId="09AEE8D2" w14:textId="77777777" w:rsidR="004B18F7" w:rsidRDefault="004B18F7" w:rsidP="004B18F7">
      <w:pPr>
        <w:pStyle w:val="BodyText"/>
      </w:pPr>
      <w:r>
        <w:t>One problem that may arise by using this method is RA/MSGB-RNTI collision.</w:t>
      </w:r>
    </w:p>
    <w:p w14:paraId="16266708" w14:textId="48030FE9" w:rsidR="004B18F7" w:rsidRDefault="004B18F7" w:rsidP="004B18F7">
      <w:pPr>
        <w:pStyle w:val="BodyText"/>
      </w:pPr>
      <w:r>
        <w:lastRenderedPageBreak/>
        <w:t>RA and MSGB-RNTI are calculated according to the formulas below</w:t>
      </w:r>
      <w:r w:rsidR="00006E3F">
        <w:t xml:space="preserve"> </w:t>
      </w:r>
      <w:r w:rsidR="00006E3F">
        <w:fldChar w:fldCharType="begin"/>
      </w:r>
      <w:r w:rsidR="00006E3F">
        <w:instrText xml:space="preserve"> REF _Ref61512409 \r \h </w:instrText>
      </w:r>
      <w:r w:rsidR="00006E3F">
        <w:fldChar w:fldCharType="separate"/>
      </w:r>
      <w:r w:rsidR="00085F42">
        <w:t>[4]</w:t>
      </w:r>
      <w:r w:rsidR="00006E3F">
        <w:fldChar w:fldCharType="end"/>
      </w:r>
      <w:r>
        <w:t>:</w:t>
      </w:r>
    </w:p>
    <w:p w14:paraId="5A4B4DDC" w14:textId="77777777" w:rsidR="004B18F7" w:rsidRPr="00D5674F" w:rsidRDefault="004B18F7" w:rsidP="004B18F7">
      <w:pPr>
        <w:pStyle w:val="BodyText"/>
        <w:jc w:val="center"/>
      </w:pPr>
      <w:r w:rsidRPr="00D5674F">
        <w:t xml:space="preserve">RA-RNTI = 1 + </w:t>
      </w:r>
      <w:proofErr w:type="spellStart"/>
      <w:r w:rsidRPr="00CD5498">
        <w:rPr>
          <w:u w:val="single"/>
        </w:rPr>
        <w:t>s_id</w:t>
      </w:r>
      <w:proofErr w:type="spellEnd"/>
      <w:r w:rsidRPr="00D5674F">
        <w:t xml:space="preserve"> + 14 × </w:t>
      </w:r>
      <w:proofErr w:type="spellStart"/>
      <w:r w:rsidRPr="00CD5498">
        <w:rPr>
          <w:u w:val="single"/>
        </w:rPr>
        <w:t>t_id</w:t>
      </w:r>
      <w:proofErr w:type="spellEnd"/>
      <w:r w:rsidRPr="00D5674F">
        <w:t xml:space="preserve"> + 14 × 80 × </w:t>
      </w:r>
      <w:proofErr w:type="spellStart"/>
      <w:r w:rsidRPr="00D5674F">
        <w:rPr>
          <w:b/>
          <w:bCs/>
        </w:rPr>
        <w:t>f_id</w:t>
      </w:r>
      <w:proofErr w:type="spellEnd"/>
      <w:r w:rsidRPr="00D5674F">
        <w:t xml:space="preserve"> + 14 × 80 × 8 × </w:t>
      </w:r>
      <w:proofErr w:type="spellStart"/>
      <w:r w:rsidRPr="00D5674F">
        <w:t>ul_carrier_id</w:t>
      </w:r>
      <w:proofErr w:type="spellEnd"/>
    </w:p>
    <w:p w14:paraId="15F6D45B" w14:textId="77777777" w:rsidR="004B18F7" w:rsidRPr="00D5674F" w:rsidRDefault="004B18F7" w:rsidP="004B18F7">
      <w:pPr>
        <w:pStyle w:val="BodyText"/>
        <w:jc w:val="center"/>
      </w:pPr>
      <w:r w:rsidRPr="00D5674F">
        <w:t xml:space="preserve">MSGB-RNTI = 1 + </w:t>
      </w:r>
      <w:proofErr w:type="spellStart"/>
      <w:r w:rsidRPr="00CD5498">
        <w:rPr>
          <w:u w:val="single"/>
        </w:rPr>
        <w:t>s_id</w:t>
      </w:r>
      <w:proofErr w:type="spellEnd"/>
      <w:r w:rsidRPr="00D5674F">
        <w:t xml:space="preserve"> + 14 × </w:t>
      </w:r>
      <w:proofErr w:type="spellStart"/>
      <w:r w:rsidRPr="00CD5498">
        <w:rPr>
          <w:u w:val="single"/>
        </w:rPr>
        <w:t>t_id</w:t>
      </w:r>
      <w:proofErr w:type="spellEnd"/>
      <w:r w:rsidRPr="00D5674F">
        <w:t xml:space="preserve"> + 14 × 80 × </w:t>
      </w:r>
      <w:proofErr w:type="spellStart"/>
      <w:r w:rsidRPr="00D5674F">
        <w:rPr>
          <w:b/>
          <w:bCs/>
        </w:rPr>
        <w:t>f_id</w:t>
      </w:r>
      <w:proofErr w:type="spellEnd"/>
      <w:r w:rsidRPr="00D5674F">
        <w:t xml:space="preserve"> + 14 × 80 × 8 × </w:t>
      </w:r>
      <w:proofErr w:type="spellStart"/>
      <w:r w:rsidRPr="00D5674F">
        <w:t>ul_carrier_id</w:t>
      </w:r>
      <w:proofErr w:type="spellEnd"/>
      <w:r w:rsidRPr="00D5674F">
        <w:t xml:space="preserve"> + 14 × 80 × 8 × 2</w:t>
      </w:r>
    </w:p>
    <w:p w14:paraId="393D5BF5" w14:textId="5710DB90" w:rsidR="004B18F7" w:rsidRDefault="004B18F7" w:rsidP="004B18F7">
      <w:pPr>
        <w:pStyle w:val="BodyText"/>
      </w:pPr>
      <w:proofErr w:type="gramStart"/>
      <w:r>
        <w:t>In particular, both</w:t>
      </w:r>
      <w:proofErr w:type="gramEnd"/>
      <w:r>
        <w:t xml:space="preserve"> RNTIs</w:t>
      </w:r>
      <w:r w:rsidR="00CD5498">
        <w:t xml:space="preserve"> are</w:t>
      </w:r>
      <w:r>
        <w:t xml:space="preserve"> unique </w:t>
      </w:r>
      <w:r w:rsidR="00CD5498">
        <w:t>for each</w:t>
      </w:r>
      <w:r>
        <w:t xml:space="preserve"> RO,</w:t>
      </w:r>
      <w:r w:rsidR="00CD5498">
        <w:t xml:space="preserve"> and</w:t>
      </w:r>
      <w:r>
        <w:t xml:space="preserve"> are calculated as a function of the RO starting symbol (</w:t>
      </w:r>
      <w:r w:rsidRPr="000E646D">
        <w:rPr>
          <w:u w:val="single"/>
        </w:rPr>
        <w:t>underlined</w:t>
      </w:r>
      <w:r>
        <w:t>) and the RO offset in frequency within the PRACH slot (</w:t>
      </w:r>
      <w:r w:rsidRPr="000E646D">
        <w:rPr>
          <w:b/>
        </w:rPr>
        <w:t>bold</w:t>
      </w:r>
      <w:r>
        <w:t>).</w:t>
      </w:r>
    </w:p>
    <w:p w14:paraId="01FDA8FD" w14:textId="1D6BD116" w:rsidR="004B18F7" w:rsidRDefault="004B18F7" w:rsidP="004B18F7">
      <w:pPr>
        <w:pStyle w:val="BodyText"/>
      </w:pPr>
      <w:r>
        <w:t xml:space="preserve">If two independent PRACHs are defined so that some ROs are starting at the same time and have the same frequency offset, there will be a RNTI collision among the UEs that selected those two ROs. In this case, a collision means that </w:t>
      </w:r>
      <w:proofErr w:type="spellStart"/>
      <w:r>
        <w:t>gNB</w:t>
      </w:r>
      <w:proofErr w:type="spellEnd"/>
      <w:r>
        <w:t xml:space="preserve"> will schedule a legacy Msg2/</w:t>
      </w:r>
      <w:proofErr w:type="spellStart"/>
      <w:r>
        <w:t>MsgB</w:t>
      </w:r>
      <w:proofErr w:type="spellEnd"/>
      <w:r>
        <w:t xml:space="preserve"> with the same RNTI as an SDT Msg2/</w:t>
      </w:r>
      <w:proofErr w:type="spellStart"/>
      <w:r>
        <w:t>MsgB</w:t>
      </w:r>
      <w:proofErr w:type="spellEnd"/>
      <w:r>
        <w:t>. If Msg2/</w:t>
      </w:r>
      <w:proofErr w:type="spellStart"/>
      <w:r>
        <w:t>MsgB</w:t>
      </w:r>
      <w:proofErr w:type="spellEnd"/>
      <w:r>
        <w:t xml:space="preserve"> format is different, a legacy UE would not be able to decode the message. Moreover, if those UEs also selected the same preamble, they may consider multiple RARs as directed to them, resulting in an ambiguity.</w:t>
      </w:r>
      <w:r w:rsidR="002949CA">
        <w:t xml:space="preserve"> </w:t>
      </w:r>
      <w:r w:rsidR="002949CA">
        <w:fldChar w:fldCharType="begin"/>
      </w:r>
      <w:r w:rsidR="002949CA">
        <w:instrText xml:space="preserve"> REF _Ref61444356 \h </w:instrText>
      </w:r>
      <w:r w:rsidR="002949CA">
        <w:fldChar w:fldCharType="separate"/>
      </w:r>
      <w:r w:rsidR="00085F42">
        <w:t xml:space="preserve">Figure </w:t>
      </w:r>
      <w:r w:rsidR="00085F42">
        <w:rPr>
          <w:noProof/>
        </w:rPr>
        <w:t>1</w:t>
      </w:r>
      <w:r w:rsidR="002949CA">
        <w:fldChar w:fldCharType="end"/>
      </w:r>
      <w:r w:rsidR="002949CA">
        <w:t xml:space="preserve"> shows two examples of configuration where RNTI collisions may or may not happen.</w:t>
      </w:r>
    </w:p>
    <w:p w14:paraId="75020C57" w14:textId="51A7B533" w:rsidR="002949CA" w:rsidRDefault="00355578" w:rsidP="000E646D">
      <w:pPr>
        <w:pStyle w:val="BodyText"/>
        <w:keepNext/>
      </w:pPr>
      <w:r>
        <w:rPr>
          <w:rFonts w:ascii="Times New Roman" w:hAnsi="Times New Roman"/>
          <w:noProof/>
          <w:lang w:eastAsia="ja-JP"/>
        </w:rPr>
      </w:r>
      <w:r w:rsidR="00355578">
        <w:rPr>
          <w:rFonts w:ascii="Times New Roman" w:hAnsi="Times New Roman"/>
          <w:noProof/>
          <w:lang w:eastAsia="ja-JP"/>
        </w:rPr>
        <w:object w:dxaOrig="13170" w:dyaOrig="7606" w14:anchorId="63784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6.95pt;height:311pt;mso-width-percent:0;mso-height-percent:0;mso-width-percent:0;mso-height-percent:0" o:ole="">
            <v:imagedata r:id="rId11" o:title=""/>
          </v:shape>
          <o:OLEObject Type="Embed" ProgID="Visio.Drawing.11" ShapeID="_x0000_i1025" DrawAspect="Content" ObjectID="_1672155570" r:id="rId12"/>
        </w:object>
      </w:r>
    </w:p>
    <w:p w14:paraId="51C6B385" w14:textId="0F95BD23" w:rsidR="00961BE1" w:rsidRDefault="002949CA" w:rsidP="002949CA">
      <w:pPr>
        <w:pStyle w:val="Caption"/>
        <w:jc w:val="center"/>
      </w:pPr>
      <w:bookmarkStart w:id="2" w:name="_Ref61444356"/>
      <w:r>
        <w:t xml:space="preserve">Figure </w:t>
      </w:r>
      <w:r w:rsidR="00355578">
        <w:fldChar w:fldCharType="begin"/>
      </w:r>
      <w:r w:rsidR="00355578">
        <w:instrText xml:space="preserve"> SEQ Figure \* ARABIC </w:instrText>
      </w:r>
      <w:r w:rsidR="00355578">
        <w:fldChar w:fldCharType="separate"/>
      </w:r>
      <w:r w:rsidR="00085F42">
        <w:rPr>
          <w:noProof/>
        </w:rPr>
        <w:t>1</w:t>
      </w:r>
      <w:r w:rsidR="00355578">
        <w:rPr>
          <w:noProof/>
        </w:rPr>
        <w:fldChar w:fldCharType="end"/>
      </w:r>
      <w:bookmarkEnd w:id="2"/>
      <w:r>
        <w:t>: Example of separate RACH configurations leading or not to RNTI collisions</w:t>
      </w:r>
    </w:p>
    <w:p w14:paraId="742C7D95" w14:textId="77777777" w:rsidR="002949CA" w:rsidRPr="000E646D" w:rsidRDefault="002949CA" w:rsidP="000E646D">
      <w:pPr>
        <w:rPr>
          <w:lang w:eastAsia="en-GB"/>
        </w:rPr>
      </w:pPr>
    </w:p>
    <w:p w14:paraId="3166F14D" w14:textId="13CE01B6" w:rsidR="004B18F7" w:rsidRPr="001B1250" w:rsidRDefault="004B18F7" w:rsidP="004B18F7">
      <w:pPr>
        <w:pStyle w:val="Observation"/>
      </w:pPr>
      <w:bookmarkStart w:id="3" w:name="_Toc61534369"/>
      <w:r>
        <w:t>A misconfigured set of ROs for SDT may lead to RA/MSGB-RNTIs colliding with legacy ones</w:t>
      </w:r>
      <w:bookmarkEnd w:id="3"/>
    </w:p>
    <w:p w14:paraId="2CAFFC22" w14:textId="77777777" w:rsidR="004B18F7" w:rsidRDefault="004B18F7" w:rsidP="004B18F7">
      <w:pPr>
        <w:pStyle w:val="BodyText"/>
      </w:pPr>
      <w:r>
        <w:t>A simple solution to this problem would be to ensure that ROs are never time-aligned, but this would add many constraints on the cell configuration and excessive complexity.</w:t>
      </w:r>
    </w:p>
    <w:p w14:paraId="0967AE15" w14:textId="5499EE57" w:rsidR="00236305" w:rsidRDefault="004B18F7" w:rsidP="004B18F7">
      <w:pPr>
        <w:pStyle w:val="Observation"/>
      </w:pPr>
      <w:bookmarkStart w:id="4" w:name="_Toc61534370"/>
      <w:r>
        <w:t>It is possible to solve RA/MSGB-RNTI collision problem by ensuring that ROs belonging to different PRACH</w:t>
      </w:r>
      <w:r w:rsidR="0098068D">
        <w:t xml:space="preserve"> slots</w:t>
      </w:r>
      <w:r>
        <w:t xml:space="preserve"> are never time-aligned, but this would result in excessive complexity and lack of flexibility</w:t>
      </w:r>
      <w:bookmarkEnd w:id="4"/>
    </w:p>
    <w:p w14:paraId="42F6AF10" w14:textId="332303D4" w:rsidR="004B2D9C" w:rsidRDefault="004B2D9C" w:rsidP="004B2D9C">
      <w:pPr>
        <w:pStyle w:val="BodyText"/>
      </w:pPr>
      <w:r>
        <w:t xml:space="preserve">Another solution could be to define a new RNTI with a range of values orthogonal to the ones used by RA/MSGB-RNTI in CSS. The issue with this solution is that there are not enough values left assuming we want to double the </w:t>
      </w:r>
      <w:r w:rsidR="00C7084E">
        <w:t xml:space="preserve">legacy </w:t>
      </w:r>
      <w:r>
        <w:t>values used for RA/MSGB-RNTI. In fact, currently both RA and MSGB-RNTI use 17920</w:t>
      </w:r>
      <w:r w:rsidR="003478DA" w:rsidRPr="003478DA">
        <w:t xml:space="preserve"> </w:t>
      </w:r>
      <w:r w:rsidR="003478DA">
        <w:t>values</w:t>
      </w:r>
      <w:r>
        <w:t xml:space="preserve"> (from 0x0001 to 0x4600 for RA-RNTI and from 0x4601 to 0x8C00 for MSGB-RNTI), for a total of 35840 out of the 65522 available</w:t>
      </w:r>
      <w:r w:rsidR="003478DA">
        <w:t xml:space="preserve"> (from 0x0001 to 0xFFF2)</w:t>
      </w:r>
      <w:r>
        <w:t xml:space="preserve">. If we create similar ranges for a new RA-SDT-RNTI and MSGB-SDT-RNTI we would require a total of 71680 values which exceeds the maximum </w:t>
      </w:r>
      <w:r w:rsidR="003478DA">
        <w:t>available</w:t>
      </w:r>
      <w:r>
        <w:t xml:space="preserve">. </w:t>
      </w:r>
    </w:p>
    <w:p w14:paraId="2B325B35" w14:textId="72C05489" w:rsidR="004B2D9C" w:rsidRDefault="004B2D9C" w:rsidP="004B2D9C">
      <w:pPr>
        <w:pStyle w:val="Observation"/>
      </w:pPr>
      <w:bookmarkStart w:id="5" w:name="_Toc61534371"/>
      <w:r>
        <w:t xml:space="preserve">It is not possible to define </w:t>
      </w:r>
      <w:r w:rsidR="003478DA">
        <w:t>two</w:t>
      </w:r>
      <w:r>
        <w:t xml:space="preserve"> new range</w:t>
      </w:r>
      <w:r w:rsidR="003478DA">
        <w:t>s</w:t>
      </w:r>
      <w:r>
        <w:t xml:space="preserve"> of </w:t>
      </w:r>
      <w:r w:rsidR="003478DA">
        <w:t>RA- and MSGB-</w:t>
      </w:r>
      <w:r>
        <w:t xml:space="preserve">SDT-RNTIs for CSS with the same amount of values used by </w:t>
      </w:r>
      <w:r w:rsidR="003478DA">
        <w:t>their legacy versions.</w:t>
      </w:r>
      <w:bookmarkEnd w:id="5"/>
      <w:r>
        <w:t xml:space="preserve"> </w:t>
      </w:r>
    </w:p>
    <w:p w14:paraId="5778072D" w14:textId="0FE8ACCD" w:rsidR="009369FF" w:rsidRPr="00236305" w:rsidRDefault="009369FF" w:rsidP="00355578">
      <w:pPr>
        <w:pStyle w:val="BodyText"/>
      </w:pPr>
      <w:r>
        <w:lastRenderedPageBreak/>
        <w:t>In conclusion, if RAN2 decides to define a new SDT PRACH configuration as described, it should be further studied how to avoid the RNTI collision problem.</w:t>
      </w:r>
    </w:p>
    <w:p w14:paraId="61B69190" w14:textId="5C578039" w:rsidR="00F63950" w:rsidRDefault="00230D18">
      <w:pPr>
        <w:pStyle w:val="Heading2"/>
      </w:pPr>
      <w:r>
        <w:t>2.2</w:t>
      </w:r>
      <w:r>
        <w:tab/>
      </w:r>
      <w:r w:rsidR="001B1250">
        <w:t>Separate preamble partition</w:t>
      </w:r>
    </w:p>
    <w:p w14:paraId="23DEEBBE" w14:textId="24E4E2C4" w:rsidR="003478DA" w:rsidRDefault="003478DA" w:rsidP="003478DA">
      <w:pPr>
        <w:pStyle w:val="BodyText"/>
      </w:pPr>
      <w:r>
        <w:t>Within a RO, the preambles are divided into several different partitions indicating different types of accesses that the UE wants to perform.</w:t>
      </w:r>
    </w:p>
    <w:p w14:paraId="7BDC4D32" w14:textId="0247C1F9" w:rsidR="003478DA" w:rsidRDefault="003478DA" w:rsidP="003478DA">
      <w:pPr>
        <w:pStyle w:val="BodyText"/>
      </w:pPr>
      <w:r>
        <w:t xml:space="preserve">First, in legacy, the RRC parameter </w:t>
      </w:r>
      <w:proofErr w:type="spellStart"/>
      <w:r w:rsidRPr="003478DA">
        <w:rPr>
          <w:i/>
          <w:iCs/>
        </w:rPr>
        <w:t>totalNumberOfRA</w:t>
      </w:r>
      <w:proofErr w:type="spellEnd"/>
      <w:r w:rsidRPr="003478DA">
        <w:rPr>
          <w:i/>
          <w:iCs/>
        </w:rPr>
        <w:t>-Preambles</w:t>
      </w:r>
      <w:r>
        <w:t xml:space="preserve"> </w:t>
      </w:r>
      <w:r w:rsidR="00F25CFC">
        <w:t>(</w:t>
      </w:r>
      <m:oMath>
        <m:sSub>
          <m:sSubPr>
            <m:ctrlPr>
              <w:rPr>
                <w:rFonts w:ascii="Cambria Math" w:hAnsi="Cambria Math"/>
                <w:i/>
              </w:rPr>
            </m:ctrlPr>
          </m:sSubPr>
          <m:e>
            <m:r>
              <w:rPr>
                <w:rFonts w:ascii="Cambria Math" w:hAnsi="Cambria Math"/>
              </w:rPr>
              <m:t>N</m:t>
            </m:r>
          </m:e>
          <m:sub>
            <m:r>
              <w:rPr>
                <w:rFonts w:ascii="Cambria Math" w:hAnsi="Cambria Math"/>
              </w:rPr>
              <m:t>TOT</m:t>
            </m:r>
          </m:sub>
        </m:sSub>
      </m:oMath>
      <w:r w:rsidR="00F25CFC">
        <w:t xml:space="preserve">) </w:t>
      </w:r>
      <w:r>
        <w:t>indicates how many out of 64 preambles are available to the UE, meaning that the last ones cannot be used. The same can be said for the 2-step RACH equivalent parameter. For simplicity, unless stated differently, we mention only one parameter as a general case.</w:t>
      </w:r>
    </w:p>
    <w:p w14:paraId="16562C5C" w14:textId="6C1C82C8" w:rsidR="003478DA" w:rsidRDefault="003478DA" w:rsidP="003478DA">
      <w:pPr>
        <w:pStyle w:val="BodyText"/>
      </w:pPr>
      <w:r>
        <w:t xml:space="preserve">The available preambles can be divided among the configured SSBs </w:t>
      </w:r>
      <w:r w:rsidR="00F8216A">
        <w:t>(</w:t>
      </w:r>
      <m:oMath>
        <m:sSub>
          <m:sSubPr>
            <m:ctrlPr>
              <w:rPr>
                <w:rFonts w:ascii="Cambria Math" w:hAnsi="Cambria Math"/>
                <w:i/>
              </w:rPr>
            </m:ctrlPr>
          </m:sSubPr>
          <m:e>
            <m:r>
              <w:rPr>
                <w:rFonts w:ascii="Cambria Math" w:hAnsi="Cambria Math"/>
              </w:rPr>
              <m:t>N</m:t>
            </m:r>
          </m:e>
          <m:sub>
            <m:r>
              <w:rPr>
                <w:rFonts w:ascii="Cambria Math" w:hAnsi="Cambria Math"/>
              </w:rPr>
              <m:t>SSB</m:t>
            </m:r>
          </m:sub>
        </m:sSub>
      </m:oMath>
      <w:r w:rsidR="00F8216A">
        <w:t xml:space="preserve">) </w:t>
      </w:r>
      <w:r>
        <w:t xml:space="preserve">and within each partition </w:t>
      </w:r>
      <w:r w:rsidR="00F25CFC">
        <w:t>how many CBPR are available (</w:t>
      </w:r>
      <m:oMath>
        <m:sSub>
          <m:sSubPr>
            <m:ctrlPr>
              <w:rPr>
                <w:rFonts w:ascii="Cambria Math" w:hAnsi="Cambria Math"/>
                <w:i/>
              </w:rPr>
            </m:ctrlPr>
          </m:sSubPr>
          <m:e>
            <m:r>
              <w:rPr>
                <w:rFonts w:ascii="Cambria Math" w:hAnsi="Cambria Math"/>
              </w:rPr>
              <m:t>N</m:t>
            </m:r>
          </m:e>
          <m:sub>
            <m:r>
              <w:rPr>
                <w:rFonts w:ascii="Cambria Math" w:hAnsi="Cambria Math"/>
              </w:rPr>
              <m:t>CBPR</m:t>
            </m:r>
          </m:sub>
        </m:sSub>
      </m:oMath>
      <w:r w:rsidR="00F25CFC">
        <w:t>)</w:t>
      </w:r>
      <w:r>
        <w:t>.</w:t>
      </w:r>
      <w:r w:rsidR="00F25CFC">
        <w:t xml:space="preserve"> The remaining preambles are CFPR.</w:t>
      </w:r>
      <w:r w:rsidR="00006E3F">
        <w:t xml:space="preserve"> </w:t>
      </w:r>
      <w:r w:rsidR="00006E3F">
        <w:fldChar w:fldCharType="begin"/>
      </w:r>
      <w:r w:rsidR="00006E3F">
        <w:instrText xml:space="preserve"> REF _Ref61512589 \r \h </w:instrText>
      </w:r>
      <w:r w:rsidR="00006E3F">
        <w:fldChar w:fldCharType="separate"/>
      </w:r>
      <w:r w:rsidR="00085F42">
        <w:t>[3]</w:t>
      </w:r>
      <w:r w:rsidR="00006E3F">
        <w:fldChar w:fldCharType="end"/>
      </w:r>
      <w:r w:rsidR="00006E3F">
        <w:fldChar w:fldCharType="begin"/>
      </w:r>
      <w:r w:rsidR="00006E3F">
        <w:instrText xml:space="preserve"> REF _Ref61512275 \r \h </w:instrText>
      </w:r>
      <w:r w:rsidR="00006E3F">
        <w:fldChar w:fldCharType="separate"/>
      </w:r>
      <w:r w:rsidR="00085F42">
        <w:t>[2]</w:t>
      </w:r>
      <w:r w:rsidR="00006E3F">
        <w:fldChar w:fldCharType="end"/>
      </w:r>
    </w:p>
    <w:p w14:paraId="784C35EE" w14:textId="1CD22DC4" w:rsidR="00F25CFC" w:rsidRDefault="00F25CFC" w:rsidP="003478DA">
      <w:pPr>
        <w:pStyle w:val="BodyText"/>
      </w:pPr>
      <w:r>
        <w:t>If a new parameter expressing how many SDT preambles are available is introduced</w:t>
      </w:r>
      <w:r w:rsidR="00F8216A">
        <w:t xml:space="preserve">, </w:t>
      </w:r>
      <w:r>
        <w:t>the overall configuration should be backwards compatible, meaning that a legacy UE should not use a</w:t>
      </w:r>
      <w:r w:rsidR="00F8216A">
        <w:t>n</w:t>
      </w:r>
      <w:r>
        <w:t xml:space="preserve"> SDT preamble for a legacy procedure.</w:t>
      </w:r>
    </w:p>
    <w:p w14:paraId="42BDD8B2" w14:textId="19DDA6EB" w:rsidR="00F25CFC" w:rsidRDefault="00F25CFC" w:rsidP="003478DA">
      <w:pPr>
        <w:pStyle w:val="BodyText"/>
      </w:pPr>
      <w:r>
        <w:t xml:space="preserve">This means that the new SDT partition should be defined among the CFPR or the “not available” preambles. In fact, the not available preambles will never be used by a legacy UE by definition, while the CFPR are used only according to the network </w:t>
      </w:r>
      <w:r w:rsidR="00F8216A">
        <w:t>command</w:t>
      </w:r>
      <w:r>
        <w:t xml:space="preserve">, so the network </w:t>
      </w:r>
      <w:r w:rsidR="00F8216A">
        <w:t xml:space="preserve">could </w:t>
      </w:r>
      <w:r>
        <w:t>make sure to not assign SDT preambles to a legacy UE for a legacy contention free access.</w:t>
      </w:r>
    </w:p>
    <w:p w14:paraId="481EE5F5" w14:textId="2B1E9192" w:rsidR="00F25CFC" w:rsidRDefault="00F25CFC" w:rsidP="003478DA">
      <w:pPr>
        <w:pStyle w:val="BodyText"/>
      </w:pPr>
      <w:r>
        <w:t xml:space="preserve">Assuming to express the number of available SDT preambles as </w:t>
      </w:r>
      <m:oMath>
        <m:sSub>
          <m:sSubPr>
            <m:ctrlPr>
              <w:rPr>
                <w:rFonts w:ascii="Cambria Math" w:hAnsi="Cambria Math"/>
                <w:i/>
              </w:rPr>
            </m:ctrlPr>
          </m:sSubPr>
          <m:e>
            <m:r>
              <w:rPr>
                <w:rFonts w:ascii="Cambria Math" w:hAnsi="Cambria Math"/>
              </w:rPr>
              <m:t>N</m:t>
            </m:r>
          </m:e>
          <m:sub>
            <m:r>
              <w:rPr>
                <w:rFonts w:ascii="Cambria Math" w:hAnsi="Cambria Math"/>
              </w:rPr>
              <m:t>SDT</m:t>
            </m:r>
          </m:sub>
        </m:sSub>
      </m:oMath>
      <w:r w:rsidR="00F8216A">
        <w:t>,</w:t>
      </w:r>
      <w:r>
        <w:t xml:space="preserve"> the figure below gives an example of configuration and how it is interpreted by both a Rel.17 UE and a legacy UE.</w:t>
      </w:r>
    </w:p>
    <w:p w14:paraId="4CC6E893" w14:textId="74E7E6CF" w:rsidR="00726D27" w:rsidRDefault="00355578" w:rsidP="00726D27">
      <w:pPr>
        <w:pStyle w:val="BodyText"/>
        <w:keepNext/>
        <w:jc w:val="center"/>
      </w:pPr>
      <w:r>
        <w:rPr>
          <w:rFonts w:ascii="Times New Roman" w:hAnsi="Times New Roman"/>
          <w:noProof/>
          <w:lang w:eastAsia="ja-JP"/>
        </w:rPr>
      </w:r>
      <w:r w:rsidR="00355578">
        <w:rPr>
          <w:rFonts w:ascii="Times New Roman" w:hAnsi="Times New Roman"/>
          <w:noProof/>
          <w:lang w:eastAsia="ja-JP"/>
        </w:rPr>
        <w:object w:dxaOrig="8551" w:dyaOrig="4486" w14:anchorId="5D571E96">
          <v:shape id="_x0000_i1026" type="#_x0000_t75" alt="" style="width:427.4pt;height:223.65pt;mso-width-percent:0;mso-height-percent:0;mso-width-percent:0;mso-height-percent:0" o:ole="">
            <v:imagedata r:id="rId13" o:title=""/>
          </v:shape>
          <o:OLEObject Type="Embed" ProgID="Visio.Drawing.11" ShapeID="_x0000_i1026" DrawAspect="Content" ObjectID="_1672155571" r:id="rId14"/>
        </w:object>
      </w:r>
    </w:p>
    <w:p w14:paraId="625ED04A" w14:textId="350A47C7" w:rsidR="00F25CFC" w:rsidRDefault="00726D27" w:rsidP="00726D27">
      <w:pPr>
        <w:pStyle w:val="Caption"/>
        <w:jc w:val="center"/>
      </w:pPr>
      <w:r>
        <w:t xml:space="preserve">Figure </w:t>
      </w:r>
      <w:r w:rsidR="00355578">
        <w:fldChar w:fldCharType="begin"/>
      </w:r>
      <w:r w:rsidR="00355578">
        <w:instrText xml:space="preserve"> SEQ Figure \* ARABIC </w:instrText>
      </w:r>
      <w:r w:rsidR="00355578">
        <w:fldChar w:fldCharType="separate"/>
      </w:r>
      <w:r w:rsidR="00901E47">
        <w:rPr>
          <w:noProof/>
        </w:rPr>
        <w:t>2</w:t>
      </w:r>
      <w:r w:rsidR="00355578">
        <w:rPr>
          <w:noProof/>
        </w:rPr>
        <w:fldChar w:fldCharType="end"/>
      </w:r>
      <w:r>
        <w:t>: example of RO configuration with SDT preamble partition added to the CFPR preambles, 2 SSBs, and how it is perceived by a legacy UE.</w:t>
      </w:r>
    </w:p>
    <w:p w14:paraId="66240815" w14:textId="47927558" w:rsidR="004505BF" w:rsidRPr="004505BF" w:rsidRDefault="004505BF" w:rsidP="004505BF">
      <w:pPr>
        <w:pStyle w:val="Proposal"/>
      </w:pPr>
      <w:bookmarkStart w:id="6" w:name="_Toc61534373"/>
      <w:r>
        <w:t xml:space="preserve">Define SDT preamble partition reusing </w:t>
      </w:r>
      <w:r w:rsidR="00BB4924">
        <w:t xml:space="preserve">either </w:t>
      </w:r>
      <w:r>
        <w:t>the legacy CFPR</w:t>
      </w:r>
      <w:r w:rsidR="00BB4924">
        <w:t>s</w:t>
      </w:r>
      <w:r>
        <w:t xml:space="preserve"> or not available preambles</w:t>
      </w:r>
      <w:bookmarkEnd w:id="6"/>
    </w:p>
    <w:p w14:paraId="2D5A2B3F" w14:textId="77777777" w:rsidR="0027611C" w:rsidRDefault="001B1250" w:rsidP="001B1250">
      <w:pPr>
        <w:pStyle w:val="Heading2"/>
      </w:pPr>
      <w:r>
        <w:t>2.3</w:t>
      </w:r>
      <w:r>
        <w:tab/>
        <w:t>Considerations on multiple groups</w:t>
      </w:r>
    </w:p>
    <w:p w14:paraId="571D9AC6" w14:textId="7AEAC74F" w:rsidR="00C473A5" w:rsidRDefault="0027611C" w:rsidP="0027611C">
      <w:pPr>
        <w:pStyle w:val="BodyText"/>
      </w:pPr>
      <w:r>
        <w:t>In the recent e-mail discussion [</w:t>
      </w:r>
      <w:proofErr w:type="gramStart"/>
      <w:r>
        <w:t>551][</w:t>
      </w:r>
      <w:proofErr w:type="gramEnd"/>
      <w:r>
        <w:t xml:space="preserve">SDT], it was discussed how many preamble groups should be configured. The </w:t>
      </w:r>
      <w:r w:rsidR="0098068D">
        <w:t>point</w:t>
      </w:r>
      <w:r>
        <w:t xml:space="preserve"> of having multiple groups is to allow the UE to indicate to </w:t>
      </w:r>
      <w:proofErr w:type="spellStart"/>
      <w:r>
        <w:t>gNB</w:t>
      </w:r>
      <w:proofErr w:type="spellEnd"/>
      <w:r>
        <w:t xml:space="preserve"> which TBS for </w:t>
      </w:r>
      <w:proofErr w:type="spellStart"/>
      <w:r>
        <w:t>MsgA</w:t>
      </w:r>
      <w:proofErr w:type="spellEnd"/>
      <w:r>
        <w:t>/</w:t>
      </w:r>
      <w:proofErr w:type="spellStart"/>
      <w:r>
        <w:t>MsgB</w:t>
      </w:r>
      <w:proofErr w:type="spellEnd"/>
      <w:r>
        <w:t xml:space="preserve"> is the most appropriate to carry the MAC PDU. By having multiple </w:t>
      </w:r>
      <w:r w:rsidR="0098068D">
        <w:t>choices,</w:t>
      </w:r>
      <w:r>
        <w:t xml:space="preserve"> </w:t>
      </w:r>
      <w:r w:rsidR="00E22F90">
        <w:t xml:space="preserve">it </w:t>
      </w:r>
      <w:r>
        <w:t>is possible to minimize the amount of padding to insert in the MAC PDU and thus minimize the resource consumption. On the other hand, having many preamble groups increases the segmentation of the available preambles which decreases PRACH efficiency and increases the amount of resources required to host all the preambles.</w:t>
      </w:r>
    </w:p>
    <w:p w14:paraId="62C0EB88" w14:textId="53C14822" w:rsidR="0027611C" w:rsidRDefault="0027611C" w:rsidP="0027611C">
      <w:pPr>
        <w:pStyle w:val="BodyText"/>
      </w:pPr>
      <w:r>
        <w:lastRenderedPageBreak/>
        <w:t xml:space="preserve">It seems that the consensus is to have two groups, </w:t>
      </w:r>
      <w:proofErr w:type="gramStart"/>
      <w:r>
        <w:t>similar to</w:t>
      </w:r>
      <w:proofErr w:type="gramEnd"/>
      <w:r>
        <w:t xml:space="preserve"> Group A and B defined in legacy RACH procedures. Nevertheless, it should be possible to configure only one group in order to minimize the preamble segmentation which represents the most critical issue with this feature.</w:t>
      </w:r>
    </w:p>
    <w:p w14:paraId="367B13A1" w14:textId="3BCD8C52" w:rsidR="0027611C" w:rsidRDefault="0027611C" w:rsidP="0027611C">
      <w:pPr>
        <w:pStyle w:val="BodyText"/>
      </w:pPr>
      <w:r>
        <w:t xml:space="preserve">It is true that having too much padding </w:t>
      </w:r>
      <w:r w:rsidR="0028650E">
        <w:t>on a channel that usually is configured with a very low MCS due to coverage issues represents a major waste of resources, but this could be avoided by keeping the configured TBS relatively low (e.g.: large enough to carry the average payload, but not large enough to carry the largest payload). In fact, in case the UE wants to transmit more data than what it can fit in Msg3/</w:t>
      </w:r>
      <w:proofErr w:type="spellStart"/>
      <w:r w:rsidR="0028650E">
        <w:t>MsgA</w:t>
      </w:r>
      <w:proofErr w:type="spellEnd"/>
      <w:r w:rsidR="0028650E">
        <w:t>, the subsequent transmissions mechanism could help in delivering the remaining data more efficiently.</w:t>
      </w:r>
    </w:p>
    <w:p w14:paraId="1D287478" w14:textId="0AE2E15F" w:rsidR="0028650E" w:rsidRDefault="0028650E" w:rsidP="000E646D">
      <w:pPr>
        <w:pStyle w:val="Observation"/>
      </w:pPr>
      <w:bookmarkStart w:id="7" w:name="_Toc61534372"/>
      <w:r>
        <w:t>With only one preamble group, it is possible to avoid waste of resources by configuring Msg3/</w:t>
      </w:r>
      <w:proofErr w:type="spellStart"/>
      <w:r>
        <w:t>MsgA</w:t>
      </w:r>
      <w:proofErr w:type="spellEnd"/>
      <w:r>
        <w:t xml:space="preserve"> TBS as relatively low and let the subsequent packet feature deliver the additional payload that might be required by few UEs.</w:t>
      </w:r>
      <w:bookmarkEnd w:id="7"/>
    </w:p>
    <w:p w14:paraId="2559A63E" w14:textId="5BF73463" w:rsidR="001B1250" w:rsidRDefault="0028650E" w:rsidP="001B1250">
      <w:pPr>
        <w:pStyle w:val="Proposal"/>
      </w:pPr>
      <w:bookmarkStart w:id="8" w:name="_Toc61534374"/>
      <w:r>
        <w:t>Allow the second preamble group to be disabled</w:t>
      </w:r>
      <w:bookmarkEnd w:id="8"/>
    </w:p>
    <w:p w14:paraId="1E0866D0" w14:textId="77777777" w:rsidR="00456972" w:rsidRDefault="00B65AF2" w:rsidP="00456972">
      <w:pPr>
        <w:pStyle w:val="Heading2"/>
      </w:pPr>
      <w:r>
        <w:t>2.4</w:t>
      </w:r>
      <w:r>
        <w:tab/>
        <w:t>Considerations on common RACH configuration</w:t>
      </w:r>
    </w:p>
    <w:p w14:paraId="4B32814F" w14:textId="77777777" w:rsidR="00456972" w:rsidRDefault="00456972" w:rsidP="00456972">
      <w:pPr>
        <w:pStyle w:val="BodyText"/>
      </w:pPr>
      <w:r>
        <w:t>Another option to avoid an overall excessive number of configured preambles is to define a common RACH configuration, meaning that some of the preambles can be used both for legacy and SDT operations.</w:t>
      </w:r>
    </w:p>
    <w:p w14:paraId="33AC7BCA" w14:textId="195D133C" w:rsidR="00456972" w:rsidRDefault="00C608C8" w:rsidP="00456972">
      <w:pPr>
        <w:pStyle w:val="BodyText"/>
      </w:pPr>
      <w:r>
        <w:t xml:space="preserve">In this case, although the configuration of several preambles and related resource consumption can be avoided, the </w:t>
      </w:r>
      <w:proofErr w:type="spellStart"/>
      <w:r>
        <w:t>gNB</w:t>
      </w:r>
      <w:proofErr w:type="spellEnd"/>
      <w:r>
        <w:t xml:space="preserve"> </w:t>
      </w:r>
      <w:r w:rsidR="001F6872">
        <w:t>must</w:t>
      </w:r>
      <w:r>
        <w:t xml:space="preserve"> distinguish whether a UE decided to perform a legacy or an SDT access. To do so, the </w:t>
      </w:r>
      <w:proofErr w:type="spellStart"/>
      <w:r>
        <w:t>gNB</w:t>
      </w:r>
      <w:proofErr w:type="spellEnd"/>
      <w:r>
        <w:t xml:space="preserve"> </w:t>
      </w:r>
      <w:r w:rsidR="009369FF">
        <w:t>must</w:t>
      </w:r>
      <w:r>
        <w:t xml:space="preserve"> perform blind decoding on the content of Msg3/</w:t>
      </w:r>
      <w:proofErr w:type="spellStart"/>
      <w:r>
        <w:t>MsgA</w:t>
      </w:r>
      <w:proofErr w:type="spellEnd"/>
      <w:r>
        <w:t xml:space="preserve"> and its actual TBS </w:t>
      </w:r>
      <w:proofErr w:type="gramStart"/>
      <w:r>
        <w:t>in order to</w:t>
      </w:r>
      <w:proofErr w:type="gramEnd"/>
      <w:r>
        <w:t xml:space="preserve"> decide how to handle the UE. This operation, </w:t>
      </w:r>
      <w:proofErr w:type="gramStart"/>
      <w:r>
        <w:t>similar to</w:t>
      </w:r>
      <w:proofErr w:type="gramEnd"/>
      <w:r>
        <w:t xml:space="preserve"> what an </w:t>
      </w:r>
      <w:proofErr w:type="spellStart"/>
      <w:r>
        <w:t>eNB</w:t>
      </w:r>
      <w:proofErr w:type="spellEnd"/>
      <w:r>
        <w:t xml:space="preserve"> with Rel.16 EDT enabled is doing, brings considerable complexity. Moreover, in this case, the </w:t>
      </w:r>
      <w:proofErr w:type="spellStart"/>
      <w:r>
        <w:t>gNB</w:t>
      </w:r>
      <w:proofErr w:type="spellEnd"/>
      <w:r>
        <w:t xml:space="preserve"> would have to reserve resources for a large Msg3/</w:t>
      </w:r>
      <w:proofErr w:type="spellStart"/>
      <w:r>
        <w:t>MsgA</w:t>
      </w:r>
      <w:proofErr w:type="spellEnd"/>
      <w:r>
        <w:t xml:space="preserve"> coherent with an SDT access even when the UE is performing a legacy access. It is possible, then, that the gain in terms of occupied resources is lost due to this fact.</w:t>
      </w:r>
    </w:p>
    <w:p w14:paraId="303D9474" w14:textId="616A3E17" w:rsidR="00961BE1" w:rsidRDefault="00961BE1" w:rsidP="00456972">
      <w:pPr>
        <w:pStyle w:val="BodyText"/>
      </w:pPr>
      <w:r>
        <w:t xml:space="preserve">One option to avoid blind decoding could be that </w:t>
      </w:r>
      <w:proofErr w:type="spellStart"/>
      <w:r>
        <w:t>gNB</w:t>
      </w:r>
      <w:proofErr w:type="spellEnd"/>
      <w:r>
        <w:t xml:space="preserve"> sends Msg2/</w:t>
      </w:r>
      <w:proofErr w:type="spellStart"/>
      <w:r>
        <w:t>MsgB</w:t>
      </w:r>
      <w:proofErr w:type="spellEnd"/>
      <w:r>
        <w:t xml:space="preserve"> both for SDT and non-SDT. The UE will then decode the intended one, based on the procedure it is performing, and will reply (Msg3) using the indicated UL grant. The disadvantage of this solution is the increased consumption of resources due to the additional Msg2/</w:t>
      </w:r>
      <w:proofErr w:type="spellStart"/>
      <w:r>
        <w:t>MsgB</w:t>
      </w:r>
      <w:proofErr w:type="spellEnd"/>
      <w:r>
        <w:t xml:space="preserve"> transmitted and reserving resources for the potential Msg3. Again, it is not clear if the gains are greater than the losses.</w:t>
      </w:r>
    </w:p>
    <w:p w14:paraId="5F4DC4AD" w14:textId="7B9D6159" w:rsidR="00C608C8" w:rsidRPr="00456972" w:rsidRDefault="00C608C8" w:rsidP="00C608C8">
      <w:pPr>
        <w:pStyle w:val="Proposal"/>
        <w:sectPr w:rsidR="00C608C8" w:rsidRPr="00456972" w:rsidSect="001B1250">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bookmarkStart w:id="9" w:name="_Toc61534375"/>
      <w:r>
        <w:t>Avoid the definition of shared preambles</w:t>
      </w:r>
      <w:bookmarkEnd w:id="9"/>
    </w:p>
    <w:p w14:paraId="457EFBE3" w14:textId="77777777" w:rsidR="00C01F33" w:rsidRPr="00CE0424" w:rsidRDefault="00C01F33" w:rsidP="00CE0424">
      <w:pPr>
        <w:pStyle w:val="Heading1"/>
      </w:pPr>
      <w:r w:rsidRPr="00CE0424">
        <w:lastRenderedPageBreak/>
        <w:t>Conclusion</w:t>
      </w:r>
    </w:p>
    <w:p w14:paraId="3392018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B5DBF4A" w14:textId="3101E903" w:rsidR="00724F4A" w:rsidRDefault="006F6582">
      <w:pPr>
        <w:pStyle w:val="TableofFigures"/>
        <w:tabs>
          <w:tab w:val="right" w:leader="dot" w:pos="9629"/>
        </w:tabs>
        <w:rPr>
          <w:rFonts w:asciiTheme="minorHAnsi" w:eastAsiaTheme="minorEastAsia" w:hAnsiTheme="minorHAnsi" w:cstheme="minorBidi"/>
          <w:b w:val="0"/>
          <w:noProof/>
          <w:sz w:val="24"/>
          <w:szCs w:val="24"/>
          <w:lang w:eastAsia="ja-JP"/>
        </w:rPr>
      </w:pPr>
      <w:r>
        <w:rPr>
          <w:b w:val="0"/>
          <w:bCs/>
        </w:rPr>
        <w:fldChar w:fldCharType="begin"/>
      </w:r>
      <w:r>
        <w:rPr>
          <w:b w:val="0"/>
          <w:bCs/>
        </w:rPr>
        <w:instrText xml:space="preserve"> TOC \f O \n \h \z \t "Observation" \c </w:instrText>
      </w:r>
      <w:r>
        <w:rPr>
          <w:b w:val="0"/>
          <w:bCs/>
        </w:rPr>
        <w:fldChar w:fldCharType="separate"/>
      </w:r>
      <w:hyperlink w:anchor="_Toc61534368" w:history="1">
        <w:r w:rsidR="00724F4A" w:rsidRPr="00EA364A">
          <w:rPr>
            <w:rStyle w:val="Hyperlink"/>
            <w:noProof/>
          </w:rPr>
          <w:t>Observation 1</w:t>
        </w:r>
        <w:r w:rsidR="00724F4A">
          <w:rPr>
            <w:rFonts w:asciiTheme="minorHAnsi" w:eastAsiaTheme="minorEastAsia" w:hAnsiTheme="minorHAnsi" w:cstheme="minorBidi"/>
            <w:b w:val="0"/>
            <w:noProof/>
            <w:sz w:val="24"/>
            <w:szCs w:val="24"/>
            <w:lang w:eastAsia="ja-JP"/>
          </w:rPr>
          <w:tab/>
        </w:r>
        <w:r w:rsidR="00724F4A" w:rsidRPr="00EA364A">
          <w:rPr>
            <w:rStyle w:val="Hyperlink"/>
            <w:noProof/>
          </w:rPr>
          <w:t>It is possible to define separate SDT ROs by defining a new PRACH slot for SDT only</w:t>
        </w:r>
      </w:hyperlink>
    </w:p>
    <w:p w14:paraId="3680579E" w14:textId="210EBD70" w:rsidR="00724F4A" w:rsidRDefault="00355578">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369" w:history="1">
        <w:r w:rsidR="00724F4A" w:rsidRPr="00EA364A">
          <w:rPr>
            <w:rStyle w:val="Hyperlink"/>
            <w:noProof/>
          </w:rPr>
          <w:t>Observation 2</w:t>
        </w:r>
        <w:r w:rsidR="00724F4A">
          <w:rPr>
            <w:rFonts w:asciiTheme="minorHAnsi" w:eastAsiaTheme="minorEastAsia" w:hAnsiTheme="minorHAnsi" w:cstheme="minorBidi"/>
            <w:b w:val="0"/>
            <w:noProof/>
            <w:sz w:val="24"/>
            <w:szCs w:val="24"/>
            <w:lang w:eastAsia="ja-JP"/>
          </w:rPr>
          <w:tab/>
        </w:r>
        <w:r w:rsidR="00724F4A" w:rsidRPr="00EA364A">
          <w:rPr>
            <w:rStyle w:val="Hyperlink"/>
            <w:noProof/>
          </w:rPr>
          <w:t>A misconfigured set of ROs for SDT may lead to RA/MSGB-RNTIs colliding with legacy ones</w:t>
        </w:r>
      </w:hyperlink>
    </w:p>
    <w:p w14:paraId="74AE2B27" w14:textId="3334B56A" w:rsidR="00724F4A" w:rsidRDefault="00355578">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370" w:history="1">
        <w:r w:rsidR="00724F4A" w:rsidRPr="00EA364A">
          <w:rPr>
            <w:rStyle w:val="Hyperlink"/>
            <w:noProof/>
          </w:rPr>
          <w:t>Observation 3</w:t>
        </w:r>
        <w:r w:rsidR="00724F4A">
          <w:rPr>
            <w:rFonts w:asciiTheme="minorHAnsi" w:eastAsiaTheme="minorEastAsia" w:hAnsiTheme="minorHAnsi" w:cstheme="minorBidi"/>
            <w:b w:val="0"/>
            <w:noProof/>
            <w:sz w:val="24"/>
            <w:szCs w:val="24"/>
            <w:lang w:eastAsia="ja-JP"/>
          </w:rPr>
          <w:tab/>
        </w:r>
        <w:r w:rsidR="00724F4A" w:rsidRPr="00EA364A">
          <w:rPr>
            <w:rStyle w:val="Hyperlink"/>
            <w:noProof/>
          </w:rPr>
          <w:t>It is possible to solve RA/MSGB-RNTI collision problem by ensuring that ROs belonging to different PRACH slots are never time-aligned, but this would result in excessive complexity and lack of flexibility</w:t>
        </w:r>
      </w:hyperlink>
    </w:p>
    <w:p w14:paraId="58BA6071" w14:textId="61B7AE07" w:rsidR="00724F4A" w:rsidRDefault="00355578">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371" w:history="1">
        <w:r w:rsidR="00724F4A" w:rsidRPr="00EA364A">
          <w:rPr>
            <w:rStyle w:val="Hyperlink"/>
            <w:noProof/>
          </w:rPr>
          <w:t>Observation 4</w:t>
        </w:r>
        <w:r w:rsidR="00724F4A">
          <w:rPr>
            <w:rFonts w:asciiTheme="minorHAnsi" w:eastAsiaTheme="minorEastAsia" w:hAnsiTheme="minorHAnsi" w:cstheme="minorBidi"/>
            <w:b w:val="0"/>
            <w:noProof/>
            <w:sz w:val="24"/>
            <w:szCs w:val="24"/>
            <w:lang w:eastAsia="ja-JP"/>
          </w:rPr>
          <w:tab/>
        </w:r>
        <w:r w:rsidR="00724F4A" w:rsidRPr="00EA364A">
          <w:rPr>
            <w:rStyle w:val="Hyperlink"/>
            <w:noProof/>
          </w:rPr>
          <w:t>It is not possible to define two new ranges of RA- and MSGB-SDT-RNTIs for CSS with the same amount of values used by their legacy versions.</w:t>
        </w:r>
      </w:hyperlink>
    </w:p>
    <w:p w14:paraId="0112B0D6" w14:textId="28F36B01" w:rsidR="00724F4A" w:rsidRDefault="00355578">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372" w:history="1">
        <w:r w:rsidR="00724F4A" w:rsidRPr="00EA364A">
          <w:rPr>
            <w:rStyle w:val="Hyperlink"/>
            <w:noProof/>
          </w:rPr>
          <w:t>Observation 5</w:t>
        </w:r>
        <w:r w:rsidR="00724F4A">
          <w:rPr>
            <w:rFonts w:asciiTheme="minorHAnsi" w:eastAsiaTheme="minorEastAsia" w:hAnsiTheme="minorHAnsi" w:cstheme="minorBidi"/>
            <w:b w:val="0"/>
            <w:noProof/>
            <w:sz w:val="24"/>
            <w:szCs w:val="24"/>
            <w:lang w:eastAsia="ja-JP"/>
          </w:rPr>
          <w:tab/>
        </w:r>
        <w:r w:rsidR="00724F4A" w:rsidRPr="00EA364A">
          <w:rPr>
            <w:rStyle w:val="Hyperlink"/>
            <w:noProof/>
          </w:rPr>
          <w:t>With only one preamble group, it is possible to avoid waste of resources by configuring Msg3/MsgA TBS as relatively low and let the subsequent packet feature deliver the additional payload that might be required by few UEs.</w:t>
        </w:r>
      </w:hyperlink>
    </w:p>
    <w:p w14:paraId="0BE93E4C" w14:textId="4069975E" w:rsidR="006E1C82" w:rsidRDefault="006F6582" w:rsidP="008E065E">
      <w:pPr>
        <w:pStyle w:val="BodyText"/>
        <w:rPr>
          <w:b/>
          <w:bCs/>
        </w:rPr>
      </w:pPr>
      <w:r>
        <w:rPr>
          <w:b/>
          <w:bCs/>
        </w:rPr>
        <w:fldChar w:fldCharType="end"/>
      </w:r>
    </w:p>
    <w:p w14:paraId="0E078F7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5A730C" w14:textId="3249EDA1" w:rsidR="00724F4A" w:rsidRDefault="006E1C82">
      <w:pPr>
        <w:pStyle w:val="TableofFigures"/>
        <w:tabs>
          <w:tab w:val="right" w:leader="dot" w:pos="9629"/>
        </w:tabs>
        <w:rPr>
          <w:rFonts w:asciiTheme="minorHAnsi" w:eastAsiaTheme="minorEastAsia" w:hAnsiTheme="minorHAnsi" w:cstheme="minorBidi"/>
          <w:b w:val="0"/>
          <w:noProof/>
          <w:sz w:val="24"/>
          <w:szCs w:val="24"/>
          <w:lang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4373" w:history="1">
        <w:r w:rsidR="00724F4A" w:rsidRPr="008B5B07">
          <w:rPr>
            <w:rStyle w:val="Hyperlink"/>
            <w:noProof/>
          </w:rPr>
          <w:t>Proposal 1</w:t>
        </w:r>
        <w:r w:rsidR="00724F4A">
          <w:rPr>
            <w:rFonts w:asciiTheme="minorHAnsi" w:eastAsiaTheme="minorEastAsia" w:hAnsiTheme="minorHAnsi" w:cstheme="minorBidi"/>
            <w:b w:val="0"/>
            <w:noProof/>
            <w:sz w:val="24"/>
            <w:szCs w:val="24"/>
            <w:lang w:eastAsia="ja-JP"/>
          </w:rPr>
          <w:tab/>
        </w:r>
        <w:r w:rsidR="00724F4A" w:rsidRPr="008B5B07">
          <w:rPr>
            <w:rStyle w:val="Hyperlink"/>
            <w:noProof/>
          </w:rPr>
          <w:t>Define SDT preamble partition reusing either the legacy CFPRs or not available preambles</w:t>
        </w:r>
      </w:hyperlink>
    </w:p>
    <w:p w14:paraId="67FC634E" w14:textId="54FF0DD6" w:rsidR="00724F4A" w:rsidRDefault="00355578">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374" w:history="1">
        <w:r w:rsidR="00724F4A" w:rsidRPr="008B5B07">
          <w:rPr>
            <w:rStyle w:val="Hyperlink"/>
            <w:noProof/>
          </w:rPr>
          <w:t>Proposal 2</w:t>
        </w:r>
        <w:r w:rsidR="00724F4A">
          <w:rPr>
            <w:rFonts w:asciiTheme="minorHAnsi" w:eastAsiaTheme="minorEastAsia" w:hAnsiTheme="minorHAnsi" w:cstheme="minorBidi"/>
            <w:b w:val="0"/>
            <w:noProof/>
            <w:sz w:val="24"/>
            <w:szCs w:val="24"/>
            <w:lang w:eastAsia="ja-JP"/>
          </w:rPr>
          <w:tab/>
        </w:r>
        <w:r w:rsidR="00724F4A" w:rsidRPr="008B5B07">
          <w:rPr>
            <w:rStyle w:val="Hyperlink"/>
            <w:noProof/>
          </w:rPr>
          <w:t>Allow the second preamble group to be disabled</w:t>
        </w:r>
      </w:hyperlink>
    </w:p>
    <w:p w14:paraId="587AA045" w14:textId="63C2FC2F" w:rsidR="00724F4A" w:rsidRDefault="00355578">
      <w:pPr>
        <w:pStyle w:val="TableofFigures"/>
        <w:tabs>
          <w:tab w:val="right" w:leader="dot" w:pos="9629"/>
        </w:tabs>
        <w:rPr>
          <w:rFonts w:asciiTheme="minorHAnsi" w:eastAsiaTheme="minorEastAsia" w:hAnsiTheme="minorHAnsi" w:cstheme="minorBidi"/>
          <w:b w:val="0"/>
          <w:noProof/>
          <w:sz w:val="24"/>
          <w:szCs w:val="24"/>
          <w:lang w:eastAsia="ja-JP"/>
        </w:rPr>
      </w:pPr>
      <w:hyperlink w:anchor="_Toc61534375" w:history="1">
        <w:r w:rsidR="00724F4A" w:rsidRPr="008B5B07">
          <w:rPr>
            <w:rStyle w:val="Hyperlink"/>
            <w:noProof/>
          </w:rPr>
          <w:t>Proposal 3</w:t>
        </w:r>
        <w:r w:rsidR="00724F4A">
          <w:rPr>
            <w:rFonts w:asciiTheme="minorHAnsi" w:eastAsiaTheme="minorEastAsia" w:hAnsiTheme="minorHAnsi" w:cstheme="minorBidi"/>
            <w:b w:val="0"/>
            <w:noProof/>
            <w:sz w:val="24"/>
            <w:szCs w:val="24"/>
            <w:lang w:eastAsia="ja-JP"/>
          </w:rPr>
          <w:tab/>
        </w:r>
        <w:r w:rsidR="00724F4A" w:rsidRPr="008B5B07">
          <w:rPr>
            <w:rStyle w:val="Hyperlink"/>
            <w:noProof/>
          </w:rPr>
          <w:t>Avoid the definition of shared preambles</w:t>
        </w:r>
      </w:hyperlink>
    </w:p>
    <w:p w14:paraId="3422D90C" w14:textId="55D9670E" w:rsidR="006E1C82" w:rsidRPr="00CE0424" w:rsidRDefault="006E1C82" w:rsidP="006E1C82">
      <w:pPr>
        <w:pStyle w:val="BodyText"/>
        <w:rPr>
          <w:b/>
          <w:bCs/>
        </w:rPr>
      </w:pPr>
      <w:r>
        <w:rPr>
          <w:b/>
          <w:bCs/>
          <w:lang w:val="en-US"/>
        </w:rPr>
        <w:fldChar w:fldCharType="end"/>
      </w:r>
      <w:r w:rsidRPr="00CE0424">
        <w:rPr>
          <w:b/>
          <w:bCs/>
        </w:rPr>
        <w:t xml:space="preserve"> </w:t>
      </w:r>
    </w:p>
    <w:p w14:paraId="21F9C00F" w14:textId="77777777" w:rsidR="00F507D1" w:rsidRPr="00CE0424" w:rsidRDefault="00F507D1" w:rsidP="00CE0424">
      <w:pPr>
        <w:pStyle w:val="Heading1"/>
      </w:pPr>
      <w:bookmarkStart w:id="10" w:name="_In-sequence_SDU_delivery"/>
      <w:bookmarkEnd w:id="10"/>
      <w:r w:rsidRPr="00CE0424">
        <w:t>References</w:t>
      </w:r>
    </w:p>
    <w:bookmarkStart w:id="11" w:name="_Ref61511911"/>
    <w:bookmarkStart w:id="12" w:name="_Ref174151459"/>
    <w:bookmarkStart w:id="13" w:name="_Ref189809556"/>
    <w:p w14:paraId="35938A77" w14:textId="1F36345C" w:rsidR="00F8216A" w:rsidRDefault="00FB6A7D" w:rsidP="00311702">
      <w:pPr>
        <w:pStyle w:val="Reference"/>
      </w:pPr>
      <w:r>
        <w:fldChar w:fldCharType="begin"/>
      </w:r>
      <w:r>
        <w:instrText xml:space="preserve"> HYPERLINK "https://www.3gpp.org/ftp/TSG_RAN/TSG_RAN/TSGR_90e/Docs/RP-202501.zip" </w:instrText>
      </w:r>
      <w:r>
        <w:fldChar w:fldCharType="separate"/>
      </w:r>
      <w:r w:rsidRPr="00FB6A7D">
        <w:rPr>
          <w:rStyle w:val="Hyperlink"/>
        </w:rPr>
        <w:t>RP-202501</w:t>
      </w:r>
      <w:r>
        <w:fldChar w:fldCharType="end"/>
      </w:r>
      <w:r>
        <w:t>, Status Report NR-</w:t>
      </w:r>
      <w:proofErr w:type="spellStart"/>
      <w:r>
        <w:t>SmallData</w:t>
      </w:r>
      <w:proofErr w:type="spellEnd"/>
      <w:r>
        <w:t>, RAN2 ZTE, RP#90-e, December 2020</w:t>
      </w:r>
      <w:bookmarkEnd w:id="11"/>
    </w:p>
    <w:bookmarkStart w:id="14" w:name="_Ref61512275"/>
    <w:p w14:paraId="280A27D0" w14:textId="648469A0" w:rsidR="00FB6A7D" w:rsidRDefault="00FB6A7D" w:rsidP="00311702">
      <w:pPr>
        <w:pStyle w:val="Reference"/>
      </w:pPr>
      <w:r>
        <w:fldChar w:fldCharType="begin"/>
      </w:r>
      <w:r>
        <w:instrText xml:space="preserve"> HYPERLINK "https://www.3gpp.org/ftp/Specs/archive/38_series/38.211/38211-g40.zip" </w:instrText>
      </w:r>
      <w:r>
        <w:fldChar w:fldCharType="separate"/>
      </w:r>
      <w:r w:rsidRPr="00FB6A7D">
        <w:rPr>
          <w:rStyle w:val="Hyperlink"/>
        </w:rPr>
        <w:t>TS 38.211</w:t>
      </w:r>
      <w:r>
        <w:fldChar w:fldCharType="end"/>
      </w:r>
      <w:r>
        <w:t>, Physical channels and modulation, v16.4.0, January 2021</w:t>
      </w:r>
      <w:bookmarkEnd w:id="14"/>
    </w:p>
    <w:bookmarkStart w:id="15" w:name="_Ref61512589"/>
    <w:p w14:paraId="4D1DACDE" w14:textId="63B2BD70" w:rsidR="00006E3F" w:rsidRDefault="00006E3F" w:rsidP="00311702">
      <w:pPr>
        <w:pStyle w:val="Reference"/>
      </w:pPr>
      <w:r>
        <w:fldChar w:fldCharType="begin"/>
      </w:r>
      <w:r>
        <w:instrText xml:space="preserve"> HYPERLINK "https://www.3gpp.org/ftp/Specs/archive/38_series/38.331/38331-g31.zip" </w:instrText>
      </w:r>
      <w:r>
        <w:fldChar w:fldCharType="separate"/>
      </w:r>
      <w:r w:rsidRPr="00006E3F">
        <w:rPr>
          <w:rStyle w:val="Hyperlink"/>
        </w:rPr>
        <w:t>TS 38.331</w:t>
      </w:r>
      <w:r>
        <w:fldChar w:fldCharType="end"/>
      </w:r>
      <w:r>
        <w:t>, Radio Resource Control (RCC) protocol specification, v16.3.1, January 2021</w:t>
      </w:r>
      <w:bookmarkEnd w:id="15"/>
    </w:p>
    <w:bookmarkStart w:id="16" w:name="_Ref61512409"/>
    <w:bookmarkEnd w:id="12"/>
    <w:bookmarkEnd w:id="13"/>
    <w:p w14:paraId="153279CA" w14:textId="0A9346FE" w:rsidR="003A7EF3" w:rsidRPr="00CE0424" w:rsidRDefault="00006E3F" w:rsidP="000E646D">
      <w:pPr>
        <w:pStyle w:val="Reference"/>
      </w:pPr>
      <w:r>
        <w:fldChar w:fldCharType="begin"/>
      </w:r>
      <w:r>
        <w:instrText xml:space="preserve"> HYPERLINK "https://www.3gpp.org/ftp/Specs/archive/38_series/38.321/38321-g30.zip" </w:instrText>
      </w:r>
      <w:r>
        <w:fldChar w:fldCharType="separate"/>
      </w:r>
      <w:r w:rsidRPr="00006E3F">
        <w:rPr>
          <w:rStyle w:val="Hyperlink"/>
        </w:rPr>
        <w:t>TS 38.321</w:t>
      </w:r>
      <w:r>
        <w:fldChar w:fldCharType="end"/>
      </w:r>
      <w:r>
        <w:t>, Medium Access Control (MAC) protocol specification, v16.3.0, January 2021</w:t>
      </w:r>
      <w:bookmarkEnd w:id="16"/>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38B86" w14:textId="77777777" w:rsidR="00C22E60" w:rsidRDefault="00C22E60">
      <w:r>
        <w:separator/>
      </w:r>
    </w:p>
  </w:endnote>
  <w:endnote w:type="continuationSeparator" w:id="0">
    <w:p w14:paraId="32055E38" w14:textId="77777777" w:rsidR="00C22E60" w:rsidRDefault="00C22E60">
      <w:r>
        <w:continuationSeparator/>
      </w:r>
    </w:p>
  </w:endnote>
  <w:endnote w:type="continuationNotice" w:id="1">
    <w:p w14:paraId="762F212B" w14:textId="77777777" w:rsidR="00C22E60" w:rsidRDefault="00C22E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517C2" w14:textId="77777777" w:rsidR="00C22E60" w:rsidRDefault="00C22E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7727A" w14:textId="77777777" w:rsidR="00C22E60" w:rsidRDefault="00C22E60">
      <w:r>
        <w:separator/>
      </w:r>
    </w:p>
  </w:footnote>
  <w:footnote w:type="continuationSeparator" w:id="0">
    <w:p w14:paraId="14E8F18D" w14:textId="77777777" w:rsidR="00C22E60" w:rsidRDefault="00C22E60">
      <w:r>
        <w:continuationSeparator/>
      </w:r>
    </w:p>
  </w:footnote>
  <w:footnote w:type="continuationNotice" w:id="1">
    <w:p w14:paraId="31796DA8" w14:textId="77777777" w:rsidR="00C22E60" w:rsidRDefault="00C22E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C9952" w14:textId="77777777" w:rsidR="00C22E60" w:rsidRDefault="00C22E60">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250"/>
    <w:rsid w:val="000006E1"/>
    <w:rsid w:val="00002A37"/>
    <w:rsid w:val="0000564C"/>
    <w:rsid w:val="00006446"/>
    <w:rsid w:val="00006896"/>
    <w:rsid w:val="00006E3F"/>
    <w:rsid w:val="00007CDC"/>
    <w:rsid w:val="00011B28"/>
    <w:rsid w:val="00015D15"/>
    <w:rsid w:val="0002564D"/>
    <w:rsid w:val="00025ECA"/>
    <w:rsid w:val="000325B8"/>
    <w:rsid w:val="00034C15"/>
    <w:rsid w:val="00036BA1"/>
    <w:rsid w:val="000422E2"/>
    <w:rsid w:val="00042F22"/>
    <w:rsid w:val="0004326C"/>
    <w:rsid w:val="0004396E"/>
    <w:rsid w:val="000444EF"/>
    <w:rsid w:val="00052A07"/>
    <w:rsid w:val="000534E3"/>
    <w:rsid w:val="0005606A"/>
    <w:rsid w:val="00057117"/>
    <w:rsid w:val="000616E7"/>
    <w:rsid w:val="000634CE"/>
    <w:rsid w:val="0006487E"/>
    <w:rsid w:val="00065E1A"/>
    <w:rsid w:val="0007396E"/>
    <w:rsid w:val="00077E5F"/>
    <w:rsid w:val="0008036A"/>
    <w:rsid w:val="00081AE6"/>
    <w:rsid w:val="000855EB"/>
    <w:rsid w:val="00085B52"/>
    <w:rsid w:val="00085F42"/>
    <w:rsid w:val="000866F2"/>
    <w:rsid w:val="0009009F"/>
    <w:rsid w:val="00091557"/>
    <w:rsid w:val="000924C1"/>
    <w:rsid w:val="000924F0"/>
    <w:rsid w:val="00093474"/>
    <w:rsid w:val="00093AA3"/>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46D"/>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C29"/>
    <w:rsid w:val="00124314"/>
    <w:rsid w:val="0012478F"/>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EEA"/>
    <w:rsid w:val="00181FF8"/>
    <w:rsid w:val="00182014"/>
    <w:rsid w:val="00190AC1"/>
    <w:rsid w:val="0019341A"/>
    <w:rsid w:val="00197DF9"/>
    <w:rsid w:val="001A1987"/>
    <w:rsid w:val="001A2564"/>
    <w:rsid w:val="001A6173"/>
    <w:rsid w:val="001A6CBA"/>
    <w:rsid w:val="001B0D97"/>
    <w:rsid w:val="001B1250"/>
    <w:rsid w:val="001B5A5D"/>
    <w:rsid w:val="001C1CE5"/>
    <w:rsid w:val="001C3D2A"/>
    <w:rsid w:val="001C4C53"/>
    <w:rsid w:val="001D16CE"/>
    <w:rsid w:val="001D51BA"/>
    <w:rsid w:val="001D53E7"/>
    <w:rsid w:val="001D6342"/>
    <w:rsid w:val="001D6D53"/>
    <w:rsid w:val="001E58E2"/>
    <w:rsid w:val="001E7AED"/>
    <w:rsid w:val="001F3916"/>
    <w:rsid w:val="001F54C5"/>
    <w:rsid w:val="001F662C"/>
    <w:rsid w:val="001F6872"/>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30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11C"/>
    <w:rsid w:val="002805F5"/>
    <w:rsid w:val="00280751"/>
    <w:rsid w:val="0028280A"/>
    <w:rsid w:val="0028650E"/>
    <w:rsid w:val="00286ACD"/>
    <w:rsid w:val="00287838"/>
    <w:rsid w:val="002906DD"/>
    <w:rsid w:val="002907B5"/>
    <w:rsid w:val="00292EB7"/>
    <w:rsid w:val="002949CA"/>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581D"/>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8DA"/>
    <w:rsid w:val="00355578"/>
    <w:rsid w:val="00357380"/>
    <w:rsid w:val="003602D9"/>
    <w:rsid w:val="003604CE"/>
    <w:rsid w:val="00370E47"/>
    <w:rsid w:val="003742AC"/>
    <w:rsid w:val="00377CE1"/>
    <w:rsid w:val="00385BF0"/>
    <w:rsid w:val="00390DFE"/>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6A2"/>
    <w:rsid w:val="00421105"/>
    <w:rsid w:val="00422AA4"/>
    <w:rsid w:val="004242F4"/>
    <w:rsid w:val="00427248"/>
    <w:rsid w:val="00437447"/>
    <w:rsid w:val="00441A92"/>
    <w:rsid w:val="004431DC"/>
    <w:rsid w:val="00444F56"/>
    <w:rsid w:val="00446488"/>
    <w:rsid w:val="004505BF"/>
    <w:rsid w:val="004517AA"/>
    <w:rsid w:val="00452CAC"/>
    <w:rsid w:val="00456972"/>
    <w:rsid w:val="00457565"/>
    <w:rsid w:val="00457B71"/>
    <w:rsid w:val="004669E2"/>
    <w:rsid w:val="00470C31"/>
    <w:rsid w:val="00471DE0"/>
    <w:rsid w:val="004734D0"/>
    <w:rsid w:val="0047556B"/>
    <w:rsid w:val="00477768"/>
    <w:rsid w:val="00492BC5"/>
    <w:rsid w:val="004964F1"/>
    <w:rsid w:val="004A16BC"/>
    <w:rsid w:val="004A2B94"/>
    <w:rsid w:val="004B18F7"/>
    <w:rsid w:val="004B2D9C"/>
    <w:rsid w:val="004B6F6A"/>
    <w:rsid w:val="004B7C0C"/>
    <w:rsid w:val="004C1756"/>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0584"/>
    <w:rsid w:val="005C515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9F8"/>
    <w:rsid w:val="006F341D"/>
    <w:rsid w:val="006F3CDE"/>
    <w:rsid w:val="006F58D4"/>
    <w:rsid w:val="006F6582"/>
    <w:rsid w:val="0070346E"/>
    <w:rsid w:val="00704EDB"/>
    <w:rsid w:val="00706101"/>
    <w:rsid w:val="00707072"/>
    <w:rsid w:val="00707D61"/>
    <w:rsid w:val="00711074"/>
    <w:rsid w:val="00712287"/>
    <w:rsid w:val="00712772"/>
    <w:rsid w:val="007148D3"/>
    <w:rsid w:val="00715B9A"/>
    <w:rsid w:val="00724F4A"/>
    <w:rsid w:val="007257D0"/>
    <w:rsid w:val="00726D27"/>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0576"/>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A7F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04C"/>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1E47"/>
    <w:rsid w:val="00902350"/>
    <w:rsid w:val="0090336B"/>
    <w:rsid w:val="009053AA"/>
    <w:rsid w:val="00906939"/>
    <w:rsid w:val="00910B7D"/>
    <w:rsid w:val="00911DFB"/>
    <w:rsid w:val="009139D9"/>
    <w:rsid w:val="00914AD8"/>
    <w:rsid w:val="00916079"/>
    <w:rsid w:val="00917CE9"/>
    <w:rsid w:val="00920BF2"/>
    <w:rsid w:val="00922010"/>
    <w:rsid w:val="00924ACA"/>
    <w:rsid w:val="00931BD9"/>
    <w:rsid w:val="00933473"/>
    <w:rsid w:val="009368F3"/>
    <w:rsid w:val="009369FF"/>
    <w:rsid w:val="0094029A"/>
    <w:rsid w:val="00941636"/>
    <w:rsid w:val="00943742"/>
    <w:rsid w:val="00945C05"/>
    <w:rsid w:val="00946945"/>
    <w:rsid w:val="00947713"/>
    <w:rsid w:val="00950DE7"/>
    <w:rsid w:val="00953920"/>
    <w:rsid w:val="00953D47"/>
    <w:rsid w:val="0095681E"/>
    <w:rsid w:val="009572D4"/>
    <w:rsid w:val="00961921"/>
    <w:rsid w:val="00961BE1"/>
    <w:rsid w:val="0096430A"/>
    <w:rsid w:val="0096554B"/>
    <w:rsid w:val="0096584A"/>
    <w:rsid w:val="00971F08"/>
    <w:rsid w:val="0097603D"/>
    <w:rsid w:val="00976949"/>
    <w:rsid w:val="00980477"/>
    <w:rsid w:val="0098068D"/>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C4E"/>
    <w:rsid w:val="009C403E"/>
    <w:rsid w:val="009D4FF0"/>
    <w:rsid w:val="009D703C"/>
    <w:rsid w:val="009D718F"/>
    <w:rsid w:val="009E068F"/>
    <w:rsid w:val="009E14E0"/>
    <w:rsid w:val="009E35DB"/>
    <w:rsid w:val="009E47A3"/>
    <w:rsid w:val="009F08F3"/>
    <w:rsid w:val="009F344F"/>
    <w:rsid w:val="00A031D8"/>
    <w:rsid w:val="00A048A8"/>
    <w:rsid w:val="00A04F49"/>
    <w:rsid w:val="00A113D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694"/>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6F76"/>
    <w:rsid w:val="00B50466"/>
    <w:rsid w:val="00B548B7"/>
    <w:rsid w:val="00B54C7C"/>
    <w:rsid w:val="00B65AF2"/>
    <w:rsid w:val="00B664C7"/>
    <w:rsid w:val="00B739F6"/>
    <w:rsid w:val="00B75B1F"/>
    <w:rsid w:val="00B81A6C"/>
    <w:rsid w:val="00B85DE5"/>
    <w:rsid w:val="00B90F73"/>
    <w:rsid w:val="00B93B59"/>
    <w:rsid w:val="00B9406A"/>
    <w:rsid w:val="00BA2280"/>
    <w:rsid w:val="00BA2A08"/>
    <w:rsid w:val="00BA56D2"/>
    <w:rsid w:val="00BA76E0"/>
    <w:rsid w:val="00BB2A25"/>
    <w:rsid w:val="00BB4924"/>
    <w:rsid w:val="00BB51E9"/>
    <w:rsid w:val="00BC0FDC"/>
    <w:rsid w:val="00BC3053"/>
    <w:rsid w:val="00BC4D2E"/>
    <w:rsid w:val="00BD48AC"/>
    <w:rsid w:val="00BD5F1A"/>
    <w:rsid w:val="00BE1234"/>
    <w:rsid w:val="00BE2FA6"/>
    <w:rsid w:val="00BE333F"/>
    <w:rsid w:val="00BE7337"/>
    <w:rsid w:val="00BE7406"/>
    <w:rsid w:val="00BE7603"/>
    <w:rsid w:val="00BF3279"/>
    <w:rsid w:val="00BF74C7"/>
    <w:rsid w:val="00BF7538"/>
    <w:rsid w:val="00C015F1"/>
    <w:rsid w:val="00C01F33"/>
    <w:rsid w:val="00C02CC6"/>
    <w:rsid w:val="00C040F7"/>
    <w:rsid w:val="00C044AB"/>
    <w:rsid w:val="00C05706"/>
    <w:rsid w:val="00C07377"/>
    <w:rsid w:val="00C10478"/>
    <w:rsid w:val="00C12107"/>
    <w:rsid w:val="00C14D4B"/>
    <w:rsid w:val="00C154BB"/>
    <w:rsid w:val="00C15E53"/>
    <w:rsid w:val="00C22E60"/>
    <w:rsid w:val="00C25A4F"/>
    <w:rsid w:val="00C268E6"/>
    <w:rsid w:val="00C279B5"/>
    <w:rsid w:val="00C27C45"/>
    <w:rsid w:val="00C3719D"/>
    <w:rsid w:val="00C37CB2"/>
    <w:rsid w:val="00C473A5"/>
    <w:rsid w:val="00C54995"/>
    <w:rsid w:val="00C54D41"/>
    <w:rsid w:val="00C60783"/>
    <w:rsid w:val="00C608C8"/>
    <w:rsid w:val="00C64672"/>
    <w:rsid w:val="00C70697"/>
    <w:rsid w:val="00C7084E"/>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D5498"/>
    <w:rsid w:val="00CE0424"/>
    <w:rsid w:val="00CE7561"/>
    <w:rsid w:val="00CF1354"/>
    <w:rsid w:val="00CF3B1F"/>
    <w:rsid w:val="00CF3BF6"/>
    <w:rsid w:val="00CF625B"/>
    <w:rsid w:val="00CF687E"/>
    <w:rsid w:val="00D0349B"/>
    <w:rsid w:val="00D04AB8"/>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74F"/>
    <w:rsid w:val="00D576CA"/>
    <w:rsid w:val="00D61AF5"/>
    <w:rsid w:val="00D652B5"/>
    <w:rsid w:val="00D66155"/>
    <w:rsid w:val="00D708B0"/>
    <w:rsid w:val="00D7514D"/>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2F90"/>
    <w:rsid w:val="00E30B5A"/>
    <w:rsid w:val="00E3123D"/>
    <w:rsid w:val="00E31461"/>
    <w:rsid w:val="00E31567"/>
    <w:rsid w:val="00E31D43"/>
    <w:rsid w:val="00E32608"/>
    <w:rsid w:val="00E34188"/>
    <w:rsid w:val="00E34B6E"/>
    <w:rsid w:val="00E35559"/>
    <w:rsid w:val="00E3723A"/>
    <w:rsid w:val="00E37860"/>
    <w:rsid w:val="00E446F1"/>
    <w:rsid w:val="00E46886"/>
    <w:rsid w:val="00E47AEF"/>
    <w:rsid w:val="00E53B75"/>
    <w:rsid w:val="00E54E3B"/>
    <w:rsid w:val="00E5626A"/>
    <w:rsid w:val="00E57565"/>
    <w:rsid w:val="00E63838"/>
    <w:rsid w:val="00E64434"/>
    <w:rsid w:val="00E67C51"/>
    <w:rsid w:val="00E70AFF"/>
    <w:rsid w:val="00E72EFC"/>
    <w:rsid w:val="00E758EC"/>
    <w:rsid w:val="00E77B57"/>
    <w:rsid w:val="00E8234C"/>
    <w:rsid w:val="00E83AA9"/>
    <w:rsid w:val="00E85928"/>
    <w:rsid w:val="00E87822"/>
    <w:rsid w:val="00E87BA6"/>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5CFC"/>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216A"/>
    <w:rsid w:val="00F8456C"/>
    <w:rsid w:val="00F859D8"/>
    <w:rsid w:val="00F868F5"/>
    <w:rsid w:val="00F9056A"/>
    <w:rsid w:val="00F90F8D"/>
    <w:rsid w:val="00F92782"/>
    <w:rsid w:val="00F93AA9"/>
    <w:rsid w:val="00F96985"/>
    <w:rsid w:val="00F97838"/>
    <w:rsid w:val="00FA2BB3"/>
    <w:rsid w:val="00FB4C80"/>
    <w:rsid w:val="00FB6A6A"/>
    <w:rsid w:val="00FB6A7D"/>
    <w:rsid w:val="00FC7429"/>
    <w:rsid w:val="00FD07F6"/>
    <w:rsid w:val="00FD1EC8"/>
    <w:rsid w:val="00FD3892"/>
    <w:rsid w:val="00FD47ED"/>
    <w:rsid w:val="00FD74DB"/>
    <w:rsid w:val="00FD7660"/>
    <w:rsid w:val="00FE0655"/>
    <w:rsid w:val="00FE0DDA"/>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20F5C50"/>
  <w15:chartTrackingRefBased/>
  <w15:docId w15:val="{BC64DCCE-1E5D-4A8A-852D-F25CDB970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F25CFC"/>
    <w:rPr>
      <w:color w:val="808080"/>
    </w:rPr>
  </w:style>
  <w:style w:type="character" w:styleId="Mention">
    <w:name w:val="Mention"/>
    <w:basedOn w:val="DefaultParagraphFont"/>
    <w:uiPriority w:val="99"/>
    <w:unhideWhenUsed/>
    <w:rsid w:val="00BF75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55689">
      <w:bodyDiv w:val="1"/>
      <w:marLeft w:val="0"/>
      <w:marRight w:val="0"/>
      <w:marTop w:val="0"/>
      <w:marBottom w:val="0"/>
      <w:divBdr>
        <w:top w:val="none" w:sz="0" w:space="0" w:color="auto"/>
        <w:left w:val="none" w:sz="0" w:space="0" w:color="auto"/>
        <w:bottom w:val="none" w:sz="0" w:space="0" w:color="auto"/>
        <w:right w:val="none" w:sz="0" w:space="0" w:color="auto"/>
      </w:divBdr>
    </w:div>
    <w:div w:id="988753759">
      <w:bodyDiv w:val="1"/>
      <w:marLeft w:val="0"/>
      <w:marRight w:val="0"/>
      <w:marTop w:val="0"/>
      <w:marBottom w:val="0"/>
      <w:divBdr>
        <w:top w:val="none" w:sz="0" w:space="0" w:color="auto"/>
        <w:left w:val="none" w:sz="0" w:space="0" w:color="auto"/>
        <w:bottom w:val="none" w:sz="0" w:space="0" w:color="auto"/>
        <w:right w:val="none" w:sz="0" w:space="0" w:color="auto"/>
      </w:divBdr>
    </w:div>
    <w:div w:id="172182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D9A019E-98C4-4322-B86E-2E3051BB2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430BD0-244C-4720-A088-F946F558E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5</Pages>
  <Words>1948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Ericsson(Henrik)</cp:lastModifiedBy>
  <cp:revision>19</cp:revision>
  <cp:lastPrinted>2008-01-31T07:09:00Z</cp:lastPrinted>
  <dcterms:created xsi:type="dcterms:W3CDTF">2020-12-22T13:06:00Z</dcterms:created>
  <dcterms:modified xsi:type="dcterms:W3CDTF">2021-01-14T17:51:00Z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